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632D7" w14:textId="77777777" w:rsidR="00967F37" w:rsidRPr="00F6641E" w:rsidRDefault="00967F37" w:rsidP="003209D3">
      <w:pPr>
        <w:jc w:val="center"/>
        <w:rPr>
          <w:b/>
          <w:bCs/>
          <w:noProof/>
          <w:sz w:val="32"/>
          <w:szCs w:val="36"/>
          <w:lang w:eastAsia="cs-CZ"/>
        </w:rPr>
      </w:pPr>
    </w:p>
    <w:p w14:paraId="33188371" w14:textId="77777777" w:rsidR="00967F37" w:rsidRPr="00F6641E" w:rsidRDefault="00967F37" w:rsidP="003209D3">
      <w:pPr>
        <w:jc w:val="center"/>
        <w:rPr>
          <w:b/>
          <w:bCs/>
          <w:noProof/>
          <w:sz w:val="32"/>
          <w:szCs w:val="36"/>
          <w:lang w:eastAsia="cs-CZ"/>
        </w:rPr>
      </w:pPr>
    </w:p>
    <w:p w14:paraId="65666761" w14:textId="44616B3A" w:rsidR="003209D3" w:rsidRPr="00F6641E" w:rsidRDefault="003209D3" w:rsidP="003209D3">
      <w:pPr>
        <w:jc w:val="center"/>
        <w:rPr>
          <w:b/>
          <w:bCs/>
          <w:noProof/>
          <w:sz w:val="32"/>
          <w:szCs w:val="36"/>
          <w:lang w:eastAsia="cs-CZ"/>
        </w:rPr>
      </w:pPr>
      <w:r w:rsidRPr="00F6641E">
        <w:rPr>
          <w:b/>
          <w:bCs/>
          <w:noProof/>
          <w:sz w:val="32"/>
          <w:szCs w:val="36"/>
          <w:lang w:eastAsia="cs-CZ"/>
        </w:rPr>
        <w:t>VÝZVA Č. 0</w:t>
      </w:r>
      <w:r w:rsidR="00B15331" w:rsidRPr="00F6641E">
        <w:rPr>
          <w:b/>
          <w:bCs/>
          <w:noProof/>
          <w:sz w:val="32"/>
          <w:szCs w:val="36"/>
          <w:lang w:eastAsia="cs-CZ"/>
        </w:rPr>
        <w:t>7</w:t>
      </w:r>
      <w:r w:rsidRPr="00F6641E">
        <w:rPr>
          <w:b/>
          <w:bCs/>
          <w:noProof/>
          <w:sz w:val="32"/>
          <w:szCs w:val="36"/>
          <w:lang w:eastAsia="cs-CZ"/>
        </w:rPr>
        <w:t xml:space="preserve"> K PODÁNÍ NABÍDEK</w:t>
      </w:r>
    </w:p>
    <w:p w14:paraId="40FC1C3C" w14:textId="2498E741" w:rsidR="007A589E" w:rsidRPr="00F6641E" w:rsidRDefault="003209D3" w:rsidP="003209D3">
      <w:pPr>
        <w:jc w:val="center"/>
        <w:rPr>
          <w:rFonts w:cs="Arial"/>
          <w:sz w:val="18"/>
          <w:szCs w:val="18"/>
        </w:rPr>
      </w:pPr>
      <w:r w:rsidRPr="00F6641E">
        <w:rPr>
          <w:b/>
          <w:bCs/>
          <w:noProof/>
          <w:sz w:val="32"/>
          <w:szCs w:val="36"/>
          <w:lang w:eastAsia="cs-CZ"/>
        </w:rPr>
        <w:t>A ZADÁVACÍ DOKUMENTACE VEŘEJNÉ ZAKÁZKY ZADÁVANÉ V DYNAMICKÉM NÁKUPNÍM SYSTÉMU</w:t>
      </w:r>
    </w:p>
    <w:p w14:paraId="4E52C60B" w14:textId="77E8B5A4" w:rsidR="009F6216" w:rsidRPr="00F6641E" w:rsidRDefault="00653441" w:rsidP="00967F37">
      <w:pPr>
        <w:pStyle w:val="Preambule"/>
        <w:spacing w:before="240" w:line="240" w:lineRule="auto"/>
        <w:rPr>
          <w:rFonts w:cs="Arial"/>
          <w:b/>
          <w:bCs/>
          <w:sz w:val="22"/>
        </w:rPr>
      </w:pPr>
      <w:r w:rsidRPr="00F6641E">
        <w:rPr>
          <w:rFonts w:eastAsiaTheme="minorEastAsia"/>
          <w:b/>
          <w:bCs/>
          <w:sz w:val="22"/>
          <w:szCs w:val="24"/>
          <w:lang w:eastAsia="en-US"/>
        </w:rPr>
        <w:t>zadávaném dle zákona č. 134/2016 Sb., o zadávání veřejných zakázek (dále jen „ZZVZ“)</w:t>
      </w:r>
      <w:r w:rsidR="0046683F" w:rsidRPr="00F6641E">
        <w:rPr>
          <w:rFonts w:cs="Arial"/>
          <w:b/>
          <w:bCs/>
          <w:sz w:val="22"/>
        </w:rPr>
        <w:t xml:space="preserve"> </w:t>
      </w:r>
    </w:p>
    <w:tbl>
      <w:tblPr>
        <w:tblStyle w:val="Mkatabulky"/>
        <w:tblW w:w="5000" w:type="pct"/>
        <w:tblCellMar>
          <w:top w:w="57" w:type="dxa"/>
          <w:left w:w="85" w:type="dxa"/>
          <w:bottom w:w="57" w:type="dxa"/>
          <w:right w:w="85" w:type="dxa"/>
        </w:tblCellMar>
        <w:tblLook w:val="04A0" w:firstRow="1" w:lastRow="0" w:firstColumn="1" w:lastColumn="0" w:noHBand="0" w:noVBand="1"/>
      </w:tblPr>
      <w:tblGrid>
        <w:gridCol w:w="3397"/>
        <w:gridCol w:w="5657"/>
      </w:tblGrid>
      <w:tr w:rsidR="0001172B" w:rsidRPr="00F6641E" w14:paraId="4438F2EF" w14:textId="77777777" w:rsidTr="000C56BB">
        <w:tc>
          <w:tcPr>
            <w:tcW w:w="3397" w:type="dxa"/>
            <w:vAlign w:val="center"/>
          </w:tcPr>
          <w:p w14:paraId="0581B230" w14:textId="6EAB61EC" w:rsidR="0001172B" w:rsidRPr="00F6641E" w:rsidRDefault="0001172B" w:rsidP="005378E6">
            <w:pPr>
              <w:pStyle w:val="Default"/>
              <w:rPr>
                <w:b/>
                <w:bCs/>
                <w:i/>
                <w:iCs/>
                <w:sz w:val="22"/>
                <w:szCs w:val="22"/>
              </w:rPr>
            </w:pPr>
            <w:r w:rsidRPr="00F6641E">
              <w:rPr>
                <w:b/>
                <w:bCs/>
                <w:i/>
                <w:iCs/>
                <w:sz w:val="22"/>
                <w:szCs w:val="22"/>
              </w:rPr>
              <w:t>Název výzvy:</w:t>
            </w:r>
          </w:p>
        </w:tc>
        <w:tc>
          <w:tcPr>
            <w:tcW w:w="5657" w:type="dxa"/>
            <w:vAlign w:val="center"/>
          </w:tcPr>
          <w:p w14:paraId="5B9D7FB4" w14:textId="7C70DBE5" w:rsidR="0001172B" w:rsidRPr="00F6641E" w:rsidRDefault="00A45E44" w:rsidP="005378E6">
            <w:pPr>
              <w:pStyle w:val="Default"/>
              <w:rPr>
                <w:b/>
                <w:bCs/>
                <w:sz w:val="22"/>
                <w:szCs w:val="22"/>
              </w:rPr>
            </w:pPr>
            <w:r w:rsidRPr="00F6641E">
              <w:rPr>
                <w:b/>
                <w:bCs/>
                <w:sz w:val="22"/>
                <w:szCs w:val="22"/>
              </w:rPr>
              <w:t>Výzva č. 0</w:t>
            </w:r>
            <w:r w:rsidR="00B15331" w:rsidRPr="00F6641E">
              <w:rPr>
                <w:b/>
                <w:bCs/>
                <w:sz w:val="22"/>
                <w:szCs w:val="22"/>
              </w:rPr>
              <w:t>7</w:t>
            </w:r>
            <w:r w:rsidRPr="00F6641E">
              <w:rPr>
                <w:b/>
                <w:bCs/>
                <w:sz w:val="22"/>
                <w:szCs w:val="22"/>
              </w:rPr>
              <w:t xml:space="preserve"> k podání nabídek – Vytyčení po KoPÚ v okrese </w:t>
            </w:r>
            <w:r w:rsidR="0058481F" w:rsidRPr="00F6641E">
              <w:rPr>
                <w:b/>
                <w:bCs/>
                <w:sz w:val="22"/>
                <w:szCs w:val="22"/>
              </w:rPr>
              <w:t>Vsetín</w:t>
            </w:r>
            <w:r w:rsidRPr="00F6641E">
              <w:rPr>
                <w:b/>
                <w:bCs/>
                <w:sz w:val="22"/>
                <w:szCs w:val="22"/>
              </w:rPr>
              <w:t xml:space="preserve"> 2025 </w:t>
            </w:r>
            <w:r w:rsidR="00B15331" w:rsidRPr="00F6641E">
              <w:rPr>
                <w:b/>
                <w:bCs/>
                <w:sz w:val="22"/>
                <w:szCs w:val="22"/>
              </w:rPr>
              <w:t>I</w:t>
            </w:r>
            <w:r w:rsidRPr="00F6641E">
              <w:rPr>
                <w:b/>
                <w:bCs/>
                <w:sz w:val="22"/>
                <w:szCs w:val="22"/>
              </w:rPr>
              <w:t>I.</w:t>
            </w:r>
          </w:p>
        </w:tc>
      </w:tr>
      <w:tr w:rsidR="009A18D2" w:rsidRPr="00F6641E" w14:paraId="512B59D4" w14:textId="77777777" w:rsidTr="000C56BB">
        <w:tc>
          <w:tcPr>
            <w:tcW w:w="3397" w:type="dxa"/>
          </w:tcPr>
          <w:p w14:paraId="57CC8CCB" w14:textId="1675E671" w:rsidR="009A18D2" w:rsidRPr="00F6641E" w:rsidRDefault="009A18D2" w:rsidP="009A18D2">
            <w:pPr>
              <w:pStyle w:val="Default"/>
              <w:rPr>
                <w:b/>
                <w:bCs/>
                <w:i/>
                <w:iCs/>
                <w:sz w:val="22"/>
                <w:szCs w:val="22"/>
              </w:rPr>
            </w:pPr>
            <w:r w:rsidRPr="00F6641E">
              <w:rPr>
                <w:b/>
                <w:bCs/>
                <w:i/>
                <w:iCs/>
                <w:sz w:val="22"/>
                <w:szCs w:val="22"/>
              </w:rPr>
              <w:t xml:space="preserve">Sp. značka / č.j.: </w:t>
            </w:r>
          </w:p>
        </w:tc>
        <w:tc>
          <w:tcPr>
            <w:tcW w:w="5657" w:type="dxa"/>
            <w:vAlign w:val="center"/>
          </w:tcPr>
          <w:p w14:paraId="5D423D02" w14:textId="300B042A" w:rsidR="009A18D2" w:rsidRPr="00F6641E" w:rsidRDefault="006F7FE6" w:rsidP="009A18D2">
            <w:pPr>
              <w:pStyle w:val="Default"/>
              <w:rPr>
                <w:sz w:val="22"/>
                <w:szCs w:val="22"/>
                <w:highlight w:val="yellow"/>
              </w:rPr>
            </w:pPr>
            <w:r w:rsidRPr="00F6641E">
              <w:rPr>
                <w:sz w:val="22"/>
                <w:szCs w:val="22"/>
              </w:rPr>
              <w:t xml:space="preserve">SP762/2025-525101/04 </w:t>
            </w:r>
            <w:r w:rsidR="0066660A" w:rsidRPr="00F6641E">
              <w:rPr>
                <w:sz w:val="22"/>
                <w:szCs w:val="22"/>
              </w:rPr>
              <w:t xml:space="preserve">/ </w:t>
            </w:r>
            <w:r w:rsidR="008A0E29" w:rsidRPr="008A0E29">
              <w:rPr>
                <w:sz w:val="22"/>
                <w:szCs w:val="22"/>
              </w:rPr>
              <w:t>SPU 330725/2025</w:t>
            </w:r>
          </w:p>
        </w:tc>
      </w:tr>
      <w:tr w:rsidR="009A18D2" w:rsidRPr="00F6641E" w14:paraId="6688FD36" w14:textId="77777777" w:rsidTr="000C56BB">
        <w:tc>
          <w:tcPr>
            <w:tcW w:w="3397" w:type="dxa"/>
          </w:tcPr>
          <w:p w14:paraId="07220DA2" w14:textId="44163C71" w:rsidR="009A18D2" w:rsidRPr="00F6641E" w:rsidRDefault="009A18D2" w:rsidP="009A18D2">
            <w:pPr>
              <w:pStyle w:val="Default"/>
              <w:rPr>
                <w:b/>
                <w:bCs/>
                <w:i/>
                <w:iCs/>
                <w:sz w:val="22"/>
                <w:szCs w:val="22"/>
              </w:rPr>
            </w:pPr>
            <w:r w:rsidRPr="00F6641E">
              <w:rPr>
                <w:b/>
                <w:bCs/>
                <w:i/>
                <w:iCs/>
                <w:sz w:val="22"/>
                <w:szCs w:val="22"/>
              </w:rPr>
              <w:t xml:space="preserve">UID dokumentu: </w:t>
            </w:r>
          </w:p>
        </w:tc>
        <w:tc>
          <w:tcPr>
            <w:tcW w:w="5657" w:type="dxa"/>
            <w:vAlign w:val="center"/>
          </w:tcPr>
          <w:p w14:paraId="4071BDBE" w14:textId="1258E93D" w:rsidR="009A18D2" w:rsidRPr="00F6641E" w:rsidRDefault="006A2B41" w:rsidP="009A18D2">
            <w:pPr>
              <w:pStyle w:val="Default"/>
              <w:rPr>
                <w:sz w:val="22"/>
                <w:szCs w:val="22"/>
                <w:highlight w:val="yellow"/>
              </w:rPr>
            </w:pPr>
            <w:r w:rsidRPr="006A2B41">
              <w:rPr>
                <w:sz w:val="22"/>
                <w:szCs w:val="22"/>
              </w:rPr>
              <w:t>spudms00000015846955</w:t>
            </w:r>
          </w:p>
        </w:tc>
      </w:tr>
      <w:tr w:rsidR="009A18D2" w:rsidRPr="00F6641E" w14:paraId="0A237292" w14:textId="77777777" w:rsidTr="000C56BB">
        <w:tc>
          <w:tcPr>
            <w:tcW w:w="3397" w:type="dxa"/>
          </w:tcPr>
          <w:p w14:paraId="3066DCA1" w14:textId="6880A83C" w:rsidR="009A18D2" w:rsidRPr="00F6641E" w:rsidRDefault="009A18D2" w:rsidP="009A18D2">
            <w:pPr>
              <w:pStyle w:val="Default"/>
              <w:rPr>
                <w:b/>
                <w:bCs/>
                <w:i/>
                <w:iCs/>
                <w:sz w:val="22"/>
                <w:szCs w:val="22"/>
              </w:rPr>
            </w:pPr>
            <w:r w:rsidRPr="00F6641E">
              <w:rPr>
                <w:b/>
                <w:bCs/>
                <w:i/>
                <w:iCs/>
                <w:sz w:val="22"/>
                <w:szCs w:val="22"/>
              </w:rPr>
              <w:t>Zakázka je zadávána v</w:t>
            </w:r>
            <w:r w:rsidR="0069084B" w:rsidRPr="00F6641E">
              <w:rPr>
                <w:b/>
                <w:bCs/>
                <w:i/>
                <w:iCs/>
                <w:sz w:val="22"/>
                <w:szCs w:val="22"/>
              </w:rPr>
              <w:t> </w:t>
            </w:r>
            <w:r w:rsidRPr="00F6641E">
              <w:rPr>
                <w:b/>
                <w:bCs/>
                <w:i/>
                <w:iCs/>
                <w:sz w:val="22"/>
                <w:szCs w:val="22"/>
              </w:rPr>
              <w:t xml:space="preserve">zavedeném nákupním systému (dále také jen „DNS“) </w:t>
            </w:r>
          </w:p>
        </w:tc>
        <w:tc>
          <w:tcPr>
            <w:tcW w:w="5657" w:type="dxa"/>
            <w:vAlign w:val="center"/>
          </w:tcPr>
          <w:p w14:paraId="752AE86C" w14:textId="5832AB6B" w:rsidR="009A18D2" w:rsidRPr="00F6641E" w:rsidRDefault="0066660A" w:rsidP="009A18D2">
            <w:pPr>
              <w:pStyle w:val="Default"/>
              <w:rPr>
                <w:b/>
                <w:bCs/>
                <w:sz w:val="22"/>
                <w:szCs w:val="22"/>
              </w:rPr>
            </w:pPr>
            <w:r w:rsidRPr="00F6641E">
              <w:rPr>
                <w:b/>
                <w:bCs/>
                <w:sz w:val="22"/>
                <w:szCs w:val="22"/>
              </w:rPr>
              <w:t>DNS 7 - Dynamický nákupní systém k zadávání VZ na vytyčení po KoPÚ v</w:t>
            </w:r>
            <w:r w:rsidR="00EB3519" w:rsidRPr="00F6641E">
              <w:rPr>
                <w:b/>
                <w:bCs/>
                <w:sz w:val="22"/>
                <w:szCs w:val="22"/>
              </w:rPr>
              <w:t>e</w:t>
            </w:r>
            <w:r w:rsidRPr="00F6641E">
              <w:rPr>
                <w:b/>
                <w:bCs/>
                <w:sz w:val="22"/>
                <w:szCs w:val="22"/>
              </w:rPr>
              <w:t xml:space="preserve"> </w:t>
            </w:r>
            <w:r w:rsidR="00EB3519" w:rsidRPr="00F6641E">
              <w:rPr>
                <w:b/>
                <w:bCs/>
                <w:sz w:val="22"/>
                <w:szCs w:val="22"/>
              </w:rPr>
              <w:t>Zlínské</w:t>
            </w:r>
            <w:r w:rsidRPr="00F6641E">
              <w:rPr>
                <w:b/>
                <w:bCs/>
                <w:sz w:val="22"/>
                <w:szCs w:val="22"/>
              </w:rPr>
              <w:t>m kraji</w:t>
            </w:r>
          </w:p>
        </w:tc>
      </w:tr>
      <w:tr w:rsidR="009A18D2" w:rsidRPr="00F6641E" w14:paraId="75AA8763" w14:textId="77777777" w:rsidTr="000C56BB">
        <w:tc>
          <w:tcPr>
            <w:tcW w:w="3397" w:type="dxa"/>
          </w:tcPr>
          <w:p w14:paraId="0CEEFDEB" w14:textId="0289167D" w:rsidR="009A18D2" w:rsidRPr="00F6641E" w:rsidRDefault="009A18D2" w:rsidP="009A18D2">
            <w:pPr>
              <w:pStyle w:val="Default"/>
              <w:rPr>
                <w:b/>
                <w:bCs/>
                <w:i/>
                <w:iCs/>
                <w:sz w:val="22"/>
                <w:szCs w:val="22"/>
              </w:rPr>
            </w:pPr>
            <w:r w:rsidRPr="00F6641E">
              <w:rPr>
                <w:b/>
                <w:bCs/>
                <w:i/>
                <w:iCs/>
                <w:sz w:val="22"/>
                <w:szCs w:val="22"/>
              </w:rPr>
              <w:t xml:space="preserve">Evidenční číslo zakázky: </w:t>
            </w:r>
          </w:p>
        </w:tc>
        <w:tc>
          <w:tcPr>
            <w:tcW w:w="5657" w:type="dxa"/>
            <w:vAlign w:val="center"/>
          </w:tcPr>
          <w:p w14:paraId="478FE0A9" w14:textId="678ED0FE" w:rsidR="009A18D2" w:rsidRPr="00F6641E" w:rsidRDefault="00406D0E" w:rsidP="009A18D2">
            <w:pPr>
              <w:pStyle w:val="Default"/>
              <w:rPr>
                <w:sz w:val="22"/>
                <w:szCs w:val="22"/>
              </w:rPr>
            </w:pPr>
            <w:r w:rsidRPr="00F6641E">
              <w:rPr>
                <w:sz w:val="22"/>
                <w:szCs w:val="22"/>
              </w:rPr>
              <w:t>Z2025-012816</w:t>
            </w:r>
          </w:p>
        </w:tc>
      </w:tr>
      <w:tr w:rsidR="00AF3CF5" w:rsidRPr="00F6641E" w14:paraId="72F3149D" w14:textId="77777777" w:rsidTr="000C56BB">
        <w:tc>
          <w:tcPr>
            <w:tcW w:w="3397" w:type="dxa"/>
          </w:tcPr>
          <w:p w14:paraId="5E797EE8" w14:textId="77550AD7" w:rsidR="00AF3CF5" w:rsidRPr="00F6641E" w:rsidRDefault="00AF3CF5" w:rsidP="009A18D2">
            <w:pPr>
              <w:pStyle w:val="Default"/>
              <w:rPr>
                <w:b/>
                <w:bCs/>
                <w:i/>
                <w:iCs/>
                <w:sz w:val="22"/>
                <w:szCs w:val="22"/>
              </w:rPr>
            </w:pPr>
            <w:r w:rsidRPr="00F6641E">
              <w:rPr>
                <w:b/>
                <w:bCs/>
                <w:i/>
                <w:iCs/>
                <w:sz w:val="22"/>
                <w:szCs w:val="22"/>
              </w:rPr>
              <w:t xml:space="preserve">Druh veřejné zakázky: </w:t>
            </w:r>
            <w:r w:rsidRPr="00F6641E">
              <w:rPr>
                <w:b/>
                <w:bCs/>
                <w:i/>
                <w:iCs/>
                <w:sz w:val="22"/>
                <w:szCs w:val="22"/>
              </w:rPr>
              <w:tab/>
            </w:r>
          </w:p>
        </w:tc>
        <w:tc>
          <w:tcPr>
            <w:tcW w:w="5657" w:type="dxa"/>
            <w:vAlign w:val="center"/>
          </w:tcPr>
          <w:p w14:paraId="76068396" w14:textId="148DDF08" w:rsidR="00AF3CF5" w:rsidRPr="00F6641E" w:rsidRDefault="00AF3CF5" w:rsidP="009A18D2">
            <w:pPr>
              <w:pStyle w:val="Default"/>
              <w:rPr>
                <w:sz w:val="22"/>
                <w:szCs w:val="22"/>
              </w:rPr>
            </w:pPr>
            <w:r w:rsidRPr="00F6641E">
              <w:rPr>
                <w:sz w:val="22"/>
                <w:szCs w:val="22"/>
              </w:rPr>
              <w:t>služby</w:t>
            </w:r>
          </w:p>
        </w:tc>
      </w:tr>
    </w:tbl>
    <w:p w14:paraId="3B250E95" w14:textId="54C385DE" w:rsidR="00630BD7" w:rsidRPr="00F6641E" w:rsidRDefault="001C0C59" w:rsidP="00292F40">
      <w:pPr>
        <w:pStyle w:val="Nadpis1"/>
        <w:spacing w:after="120" w:line="240" w:lineRule="auto"/>
        <w:ind w:left="357" w:hanging="357"/>
        <w:jc w:val="both"/>
        <w:rPr>
          <w:rFonts w:ascii="Arial" w:hAnsi="Arial" w:cs="Arial"/>
          <w:sz w:val="28"/>
          <w:szCs w:val="28"/>
        </w:rPr>
      </w:pPr>
      <w:bookmarkStart w:id="0" w:name="_Toc476215609"/>
      <w:bookmarkStart w:id="1" w:name="_Toc476216087"/>
      <w:bookmarkStart w:id="2" w:name="_Toc476216088"/>
      <w:bookmarkEnd w:id="0"/>
      <w:bookmarkEnd w:id="1"/>
      <w:r w:rsidRPr="00F6641E">
        <w:rPr>
          <w:rFonts w:ascii="Arial" w:hAnsi="Arial" w:cs="Arial"/>
          <w:sz w:val="28"/>
          <w:szCs w:val="28"/>
        </w:rPr>
        <w:t>ZADAVATEL</w:t>
      </w:r>
    </w:p>
    <w:p w14:paraId="4ED4DDCC" w14:textId="13D037FB" w:rsidR="00E311D3" w:rsidRPr="00F6641E" w:rsidRDefault="00E311D3" w:rsidP="00832D14">
      <w:pPr>
        <w:pStyle w:val="Nadpis2"/>
        <w:ind w:left="709" w:hanging="709"/>
      </w:pPr>
      <w:r w:rsidRPr="00F6641E">
        <w:t>IDENTIFIKAČNÍ ÚDAJE ZADAVATELE</w:t>
      </w:r>
    </w:p>
    <w:tbl>
      <w:tblPr>
        <w:tblW w:w="498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85" w:type="dxa"/>
          <w:bottom w:w="28" w:type="dxa"/>
          <w:right w:w="85" w:type="dxa"/>
        </w:tblCellMar>
        <w:tblLook w:val="00A0" w:firstRow="1" w:lastRow="0" w:firstColumn="1" w:lastColumn="0" w:noHBand="0" w:noVBand="0"/>
      </w:tblPr>
      <w:tblGrid>
        <w:gridCol w:w="3397"/>
        <w:gridCol w:w="5624"/>
      </w:tblGrid>
      <w:tr w:rsidR="001C0C59" w:rsidRPr="00F6641E" w14:paraId="250F678D" w14:textId="77777777" w:rsidTr="00E44FEF">
        <w:trPr>
          <w:trHeight w:val="362"/>
          <w:jc w:val="center"/>
        </w:trPr>
        <w:tc>
          <w:tcPr>
            <w:tcW w:w="1883" w:type="pct"/>
            <w:shd w:val="clear" w:color="auto" w:fill="auto"/>
            <w:vAlign w:val="center"/>
          </w:tcPr>
          <w:p w14:paraId="58FBFF9C" w14:textId="6ADE4C79" w:rsidR="001C0C59" w:rsidRPr="00F6641E" w:rsidRDefault="003E2A5D" w:rsidP="003E2A5D">
            <w:pPr>
              <w:rPr>
                <w:b/>
                <w:i/>
                <w:iCs/>
                <w:szCs w:val="22"/>
              </w:rPr>
            </w:pPr>
            <w:r w:rsidRPr="00F6641E">
              <w:rPr>
                <w:b/>
                <w:i/>
                <w:iCs/>
                <w:szCs w:val="22"/>
              </w:rPr>
              <w:t>Zadavatel ve smyslu zákona:</w:t>
            </w:r>
          </w:p>
        </w:tc>
        <w:tc>
          <w:tcPr>
            <w:tcW w:w="3117" w:type="pct"/>
            <w:shd w:val="clear" w:color="auto" w:fill="auto"/>
            <w:vAlign w:val="center"/>
          </w:tcPr>
          <w:p w14:paraId="03AD2920" w14:textId="27F052E6" w:rsidR="001C0C59" w:rsidRPr="00F6641E" w:rsidRDefault="003E2A5D" w:rsidP="00D37154">
            <w:pPr>
              <w:rPr>
                <w:bCs/>
                <w:szCs w:val="22"/>
              </w:rPr>
            </w:pPr>
            <w:r w:rsidRPr="00F6641E">
              <w:rPr>
                <w:bCs/>
                <w:szCs w:val="22"/>
              </w:rPr>
              <w:t>Veřejný zadavatel dle § 4 odst. 1 písm. a)</w:t>
            </w:r>
          </w:p>
        </w:tc>
      </w:tr>
      <w:tr w:rsidR="00B1259F" w:rsidRPr="00F6641E" w14:paraId="6BF761FA" w14:textId="77777777" w:rsidTr="00E44FEF">
        <w:trPr>
          <w:trHeight w:val="362"/>
          <w:jc w:val="center"/>
        </w:trPr>
        <w:tc>
          <w:tcPr>
            <w:tcW w:w="1883" w:type="pct"/>
            <w:shd w:val="clear" w:color="auto" w:fill="auto"/>
            <w:vAlign w:val="center"/>
          </w:tcPr>
          <w:p w14:paraId="4B0DEAD5" w14:textId="3FD16FAD" w:rsidR="00B1259F" w:rsidRPr="00F6641E" w:rsidRDefault="00045F30" w:rsidP="00D37154">
            <w:pPr>
              <w:rPr>
                <w:b/>
                <w:i/>
                <w:iCs/>
                <w:szCs w:val="22"/>
              </w:rPr>
            </w:pPr>
            <w:r w:rsidRPr="00F6641E">
              <w:rPr>
                <w:b/>
                <w:i/>
                <w:iCs/>
                <w:szCs w:val="22"/>
              </w:rPr>
              <w:t>Právní forma:</w:t>
            </w:r>
          </w:p>
        </w:tc>
        <w:tc>
          <w:tcPr>
            <w:tcW w:w="3117" w:type="pct"/>
            <w:shd w:val="clear" w:color="auto" w:fill="auto"/>
            <w:vAlign w:val="center"/>
          </w:tcPr>
          <w:p w14:paraId="6FF6D933" w14:textId="4438011E" w:rsidR="00B1259F" w:rsidRPr="00F6641E" w:rsidRDefault="00045F30" w:rsidP="00D37154">
            <w:pPr>
              <w:rPr>
                <w:szCs w:val="22"/>
              </w:rPr>
            </w:pPr>
            <w:r w:rsidRPr="00F6641E">
              <w:rPr>
                <w:szCs w:val="22"/>
              </w:rPr>
              <w:t>Organizační složka státu, kód 325</w:t>
            </w:r>
          </w:p>
        </w:tc>
      </w:tr>
      <w:tr w:rsidR="00B1259F" w:rsidRPr="00F6641E" w14:paraId="5C4157DF" w14:textId="77777777" w:rsidTr="00E44FEF">
        <w:trPr>
          <w:trHeight w:val="362"/>
          <w:jc w:val="center"/>
        </w:trPr>
        <w:tc>
          <w:tcPr>
            <w:tcW w:w="1883" w:type="pct"/>
            <w:shd w:val="clear" w:color="auto" w:fill="auto"/>
            <w:vAlign w:val="center"/>
          </w:tcPr>
          <w:p w14:paraId="35D6F965" w14:textId="54D3B42E" w:rsidR="00B1259F" w:rsidRPr="00F6641E" w:rsidRDefault="00045F30" w:rsidP="00B1259F">
            <w:pPr>
              <w:rPr>
                <w:b/>
                <w:i/>
                <w:iCs/>
                <w:szCs w:val="22"/>
              </w:rPr>
            </w:pPr>
            <w:r w:rsidRPr="00F6641E">
              <w:rPr>
                <w:b/>
                <w:i/>
                <w:iCs/>
                <w:szCs w:val="22"/>
              </w:rPr>
              <w:t>Název zadavatele:</w:t>
            </w:r>
          </w:p>
        </w:tc>
        <w:tc>
          <w:tcPr>
            <w:tcW w:w="3117" w:type="pct"/>
            <w:shd w:val="clear" w:color="auto" w:fill="auto"/>
            <w:vAlign w:val="center"/>
          </w:tcPr>
          <w:p w14:paraId="19AB9E8D" w14:textId="77777777" w:rsidR="00B1259F" w:rsidRPr="00F6641E" w:rsidRDefault="00B1259F" w:rsidP="00B1259F">
            <w:pPr>
              <w:rPr>
                <w:szCs w:val="22"/>
              </w:rPr>
            </w:pPr>
            <w:r w:rsidRPr="00F6641E">
              <w:rPr>
                <w:szCs w:val="22"/>
              </w:rPr>
              <w:t>Česká republika – Státní pozemkový úřad</w:t>
            </w:r>
          </w:p>
          <w:p w14:paraId="132A63BF" w14:textId="67EE33A7" w:rsidR="00B1259F" w:rsidRPr="00F6641E" w:rsidRDefault="00B1259F" w:rsidP="00B1259F">
            <w:pPr>
              <w:rPr>
                <w:szCs w:val="22"/>
              </w:rPr>
            </w:pPr>
            <w:r w:rsidRPr="00F6641E">
              <w:rPr>
                <w:szCs w:val="22"/>
              </w:rPr>
              <w:t>Krajský pozemkový úřad pro Zlínský kraj</w:t>
            </w:r>
          </w:p>
        </w:tc>
      </w:tr>
      <w:tr w:rsidR="00B1259F" w:rsidRPr="00F6641E" w14:paraId="66D2E96F" w14:textId="77777777" w:rsidTr="00E44FEF">
        <w:trPr>
          <w:trHeight w:val="362"/>
          <w:jc w:val="center"/>
        </w:trPr>
        <w:tc>
          <w:tcPr>
            <w:tcW w:w="1883" w:type="pct"/>
            <w:shd w:val="clear" w:color="auto" w:fill="auto"/>
            <w:vAlign w:val="center"/>
          </w:tcPr>
          <w:p w14:paraId="5B04452B" w14:textId="77777777" w:rsidR="00B1259F" w:rsidRPr="00F6641E" w:rsidRDefault="00B1259F" w:rsidP="00B1259F">
            <w:pPr>
              <w:rPr>
                <w:b/>
                <w:i/>
                <w:iCs/>
                <w:szCs w:val="22"/>
              </w:rPr>
            </w:pPr>
            <w:r w:rsidRPr="00F6641E">
              <w:rPr>
                <w:b/>
                <w:i/>
                <w:iCs/>
                <w:szCs w:val="22"/>
              </w:rPr>
              <w:t>Sídlo:</w:t>
            </w:r>
          </w:p>
        </w:tc>
        <w:tc>
          <w:tcPr>
            <w:tcW w:w="3117" w:type="pct"/>
            <w:shd w:val="clear" w:color="auto" w:fill="auto"/>
            <w:vAlign w:val="center"/>
          </w:tcPr>
          <w:p w14:paraId="4DDE5E42" w14:textId="77777777" w:rsidR="00B1259F" w:rsidRPr="00F6641E" w:rsidRDefault="00B1259F" w:rsidP="00B1259F">
            <w:pPr>
              <w:rPr>
                <w:bCs/>
                <w:szCs w:val="22"/>
              </w:rPr>
            </w:pPr>
            <w:r w:rsidRPr="00F6641E">
              <w:rPr>
                <w:bCs/>
                <w:szCs w:val="22"/>
              </w:rPr>
              <w:t>Zarámí 88, 760 41 Zlín</w:t>
            </w:r>
          </w:p>
        </w:tc>
      </w:tr>
      <w:tr w:rsidR="00B1259F" w:rsidRPr="00F6641E" w14:paraId="57E87C00" w14:textId="77777777" w:rsidTr="00E44FEF">
        <w:trPr>
          <w:trHeight w:val="428"/>
          <w:jc w:val="center"/>
        </w:trPr>
        <w:tc>
          <w:tcPr>
            <w:tcW w:w="1883" w:type="pct"/>
            <w:shd w:val="clear" w:color="auto" w:fill="auto"/>
            <w:vAlign w:val="center"/>
          </w:tcPr>
          <w:p w14:paraId="445230E6" w14:textId="3C868D89" w:rsidR="00B1259F" w:rsidRPr="00F6641E" w:rsidRDefault="00B1259F" w:rsidP="00B1259F">
            <w:pPr>
              <w:rPr>
                <w:b/>
                <w:i/>
                <w:iCs/>
                <w:szCs w:val="22"/>
              </w:rPr>
            </w:pPr>
            <w:r w:rsidRPr="00F6641E">
              <w:rPr>
                <w:b/>
                <w:i/>
                <w:iCs/>
                <w:szCs w:val="22"/>
              </w:rPr>
              <w:t>Osoba oprávněná jednat ve věcech smluvních:</w:t>
            </w:r>
          </w:p>
        </w:tc>
        <w:tc>
          <w:tcPr>
            <w:tcW w:w="3117" w:type="pct"/>
            <w:shd w:val="clear" w:color="auto" w:fill="auto"/>
            <w:vAlign w:val="center"/>
          </w:tcPr>
          <w:p w14:paraId="202ABEC6" w14:textId="1049EA1E" w:rsidR="00B1259F" w:rsidRPr="00F6641E" w:rsidRDefault="00B1259F" w:rsidP="00B1259F">
            <w:pPr>
              <w:rPr>
                <w:bCs/>
                <w:szCs w:val="22"/>
              </w:rPr>
            </w:pPr>
            <w:r w:rsidRPr="00F6641E">
              <w:rPr>
                <w:bCs/>
                <w:szCs w:val="22"/>
              </w:rPr>
              <w:t xml:space="preserve">Ing. Mlada Augustinová, ředitelka </w:t>
            </w:r>
          </w:p>
          <w:p w14:paraId="22E575E4" w14:textId="77777777" w:rsidR="00B1259F" w:rsidRPr="00F6641E" w:rsidRDefault="00B1259F" w:rsidP="00B1259F">
            <w:pPr>
              <w:rPr>
                <w:rFonts w:cs="Arial"/>
                <w:bCs/>
                <w:szCs w:val="22"/>
              </w:rPr>
            </w:pPr>
            <w:r w:rsidRPr="00F6641E">
              <w:rPr>
                <w:bCs/>
                <w:szCs w:val="22"/>
              </w:rPr>
              <w:t>Krajského pozemkového úřadu pro Zlínský kraj</w:t>
            </w:r>
          </w:p>
        </w:tc>
      </w:tr>
      <w:tr w:rsidR="00B1259F" w:rsidRPr="00F6641E" w14:paraId="36DCC65B" w14:textId="77777777" w:rsidTr="00E44FEF">
        <w:trPr>
          <w:trHeight w:val="362"/>
          <w:jc w:val="center"/>
        </w:trPr>
        <w:tc>
          <w:tcPr>
            <w:tcW w:w="1883" w:type="pct"/>
            <w:shd w:val="clear" w:color="auto" w:fill="auto"/>
            <w:vAlign w:val="center"/>
          </w:tcPr>
          <w:p w14:paraId="4B7B9162" w14:textId="77777777" w:rsidR="00B1259F" w:rsidRPr="00F6641E" w:rsidRDefault="00B1259F" w:rsidP="00B1259F">
            <w:pPr>
              <w:rPr>
                <w:b/>
                <w:i/>
                <w:iCs/>
                <w:szCs w:val="22"/>
              </w:rPr>
            </w:pPr>
            <w:r w:rsidRPr="00F6641E">
              <w:rPr>
                <w:b/>
                <w:i/>
                <w:iCs/>
                <w:szCs w:val="22"/>
              </w:rPr>
              <w:t>IČO / DIČ:</w:t>
            </w:r>
          </w:p>
        </w:tc>
        <w:tc>
          <w:tcPr>
            <w:tcW w:w="3117" w:type="pct"/>
            <w:shd w:val="clear" w:color="auto" w:fill="auto"/>
            <w:vAlign w:val="center"/>
          </w:tcPr>
          <w:p w14:paraId="5E853205" w14:textId="77777777" w:rsidR="00B1259F" w:rsidRPr="00F6641E" w:rsidRDefault="00B1259F" w:rsidP="00B1259F">
            <w:pPr>
              <w:rPr>
                <w:szCs w:val="22"/>
              </w:rPr>
            </w:pPr>
            <w:r w:rsidRPr="00F6641E">
              <w:rPr>
                <w:szCs w:val="22"/>
              </w:rPr>
              <w:t>01312774 / CZ 01312774</w:t>
            </w:r>
          </w:p>
        </w:tc>
      </w:tr>
      <w:tr w:rsidR="00B1259F" w:rsidRPr="00F6641E" w14:paraId="7B8B952D" w14:textId="77777777" w:rsidTr="00E44FEF">
        <w:trPr>
          <w:trHeight w:val="362"/>
          <w:jc w:val="center"/>
        </w:trPr>
        <w:tc>
          <w:tcPr>
            <w:tcW w:w="1883" w:type="pct"/>
            <w:shd w:val="clear" w:color="auto" w:fill="auto"/>
            <w:vAlign w:val="center"/>
          </w:tcPr>
          <w:p w14:paraId="4EB2510C" w14:textId="3B242FE1" w:rsidR="00B1259F" w:rsidRPr="00F6641E" w:rsidRDefault="00B1259F" w:rsidP="00B1259F">
            <w:pPr>
              <w:rPr>
                <w:b/>
                <w:i/>
                <w:iCs/>
                <w:szCs w:val="22"/>
              </w:rPr>
            </w:pPr>
            <w:r w:rsidRPr="00F6641E">
              <w:rPr>
                <w:b/>
                <w:i/>
                <w:iCs/>
                <w:szCs w:val="22"/>
              </w:rPr>
              <w:t>Profil zadavatele:</w:t>
            </w:r>
          </w:p>
        </w:tc>
        <w:tc>
          <w:tcPr>
            <w:tcW w:w="3117" w:type="pct"/>
            <w:shd w:val="clear" w:color="auto" w:fill="auto"/>
            <w:vAlign w:val="center"/>
          </w:tcPr>
          <w:p w14:paraId="29DC17D8" w14:textId="77777777" w:rsidR="00B1259F" w:rsidRPr="00F6641E" w:rsidRDefault="00B1259F" w:rsidP="00B1259F">
            <w:pPr>
              <w:rPr>
                <w:szCs w:val="22"/>
              </w:rPr>
            </w:pPr>
            <w:r w:rsidRPr="00F6641E">
              <w:rPr>
                <w:szCs w:val="22"/>
              </w:rPr>
              <w:t>https://zakazky.spucr.cz</w:t>
            </w:r>
          </w:p>
        </w:tc>
      </w:tr>
      <w:tr w:rsidR="00B1259F" w:rsidRPr="00F6641E" w14:paraId="3B908915" w14:textId="77777777" w:rsidTr="00E44FEF">
        <w:trPr>
          <w:trHeight w:val="362"/>
          <w:jc w:val="center"/>
        </w:trPr>
        <w:tc>
          <w:tcPr>
            <w:tcW w:w="1883" w:type="pct"/>
            <w:shd w:val="clear" w:color="auto" w:fill="auto"/>
            <w:vAlign w:val="center"/>
          </w:tcPr>
          <w:p w14:paraId="34E6EC24" w14:textId="77777777" w:rsidR="00B1259F" w:rsidRPr="00F6641E" w:rsidRDefault="00B1259F" w:rsidP="00B1259F">
            <w:pPr>
              <w:rPr>
                <w:b/>
                <w:i/>
                <w:iCs/>
                <w:szCs w:val="22"/>
              </w:rPr>
            </w:pPr>
            <w:r w:rsidRPr="00F6641E">
              <w:rPr>
                <w:b/>
                <w:i/>
                <w:iCs/>
                <w:szCs w:val="22"/>
              </w:rPr>
              <w:t>ID Datové schránky:</w:t>
            </w:r>
          </w:p>
        </w:tc>
        <w:tc>
          <w:tcPr>
            <w:tcW w:w="3117" w:type="pct"/>
            <w:shd w:val="clear" w:color="auto" w:fill="auto"/>
            <w:vAlign w:val="center"/>
          </w:tcPr>
          <w:p w14:paraId="19FDE03F" w14:textId="77777777" w:rsidR="00B1259F" w:rsidRPr="00F6641E" w:rsidRDefault="00B1259F" w:rsidP="00B1259F">
            <w:pPr>
              <w:rPr>
                <w:szCs w:val="22"/>
              </w:rPr>
            </w:pPr>
            <w:r w:rsidRPr="00F6641E">
              <w:rPr>
                <w:szCs w:val="22"/>
              </w:rPr>
              <w:t>z49per3</w:t>
            </w:r>
          </w:p>
        </w:tc>
      </w:tr>
    </w:tbl>
    <w:p w14:paraId="5D94BDF7" w14:textId="77777777" w:rsidR="00255072" w:rsidRPr="00F6641E" w:rsidRDefault="00255072" w:rsidP="00710DA9">
      <w:pPr>
        <w:pStyle w:val="Nadpis1"/>
        <w:keepNext w:val="0"/>
        <w:keepLines w:val="0"/>
        <w:numPr>
          <w:ilvl w:val="0"/>
          <w:numId w:val="0"/>
        </w:numPr>
        <w:spacing w:before="120" w:after="120" w:line="240" w:lineRule="auto"/>
        <w:jc w:val="both"/>
        <w:rPr>
          <w:rFonts w:ascii="Arial" w:hAnsi="Arial" w:cs="Arial"/>
          <w:b w:val="0"/>
          <w:bCs/>
          <w:sz w:val="22"/>
          <w:szCs w:val="22"/>
        </w:rPr>
      </w:pPr>
      <w:r w:rsidRPr="00F6641E">
        <w:rPr>
          <w:rFonts w:ascii="Arial" w:hAnsi="Arial" w:cs="Arial"/>
          <w:b w:val="0"/>
          <w:bCs/>
          <w:sz w:val="22"/>
          <w:szCs w:val="22"/>
        </w:rPr>
        <w:t>Dále jen „zadavatel“</w:t>
      </w:r>
    </w:p>
    <w:p w14:paraId="2E489D33" w14:textId="53756D31" w:rsidR="00255072" w:rsidRPr="00F6641E" w:rsidRDefault="00255072" w:rsidP="00832D14">
      <w:pPr>
        <w:pStyle w:val="Nadpis2"/>
        <w:ind w:left="709" w:hanging="709"/>
      </w:pPr>
      <w:r w:rsidRPr="00F6641E">
        <w:t>UVODNÍ INFORMACE</w:t>
      </w:r>
    </w:p>
    <w:p w14:paraId="32C379A8" w14:textId="4507DC91" w:rsidR="00255072" w:rsidRPr="00F6641E" w:rsidRDefault="00255072" w:rsidP="00710DA9">
      <w:pPr>
        <w:pStyle w:val="Nadpis1"/>
        <w:keepNext w:val="0"/>
        <w:keepLines w:val="0"/>
        <w:numPr>
          <w:ilvl w:val="0"/>
          <w:numId w:val="0"/>
        </w:numPr>
        <w:spacing w:before="0" w:after="120" w:line="240" w:lineRule="auto"/>
        <w:jc w:val="both"/>
        <w:rPr>
          <w:rFonts w:ascii="Arial" w:hAnsi="Arial" w:cs="Arial"/>
          <w:b w:val="0"/>
          <w:bCs/>
          <w:sz w:val="22"/>
          <w:szCs w:val="22"/>
        </w:rPr>
      </w:pPr>
      <w:r w:rsidRPr="00F6641E">
        <w:rPr>
          <w:rFonts w:ascii="Arial" w:hAnsi="Arial" w:cs="Arial"/>
          <w:b w:val="0"/>
          <w:bCs/>
          <w:sz w:val="22"/>
          <w:szCs w:val="22"/>
        </w:rPr>
        <w:t>Zadavatel tímto vyzývá v souladu s §141 ZZVZ dodavatele zařazené v zavedeném DNS s</w:t>
      </w:r>
      <w:r w:rsidR="008954B9" w:rsidRPr="00F6641E">
        <w:rPr>
          <w:rFonts w:ascii="Arial" w:hAnsi="Arial" w:cs="Arial"/>
          <w:b w:val="0"/>
          <w:bCs/>
          <w:sz w:val="22"/>
          <w:szCs w:val="22"/>
        </w:rPr>
        <w:t> </w:t>
      </w:r>
      <w:r w:rsidRPr="00F6641E">
        <w:rPr>
          <w:rFonts w:ascii="Arial" w:hAnsi="Arial" w:cs="Arial"/>
          <w:b w:val="0"/>
          <w:bCs/>
          <w:sz w:val="22"/>
          <w:szCs w:val="22"/>
        </w:rPr>
        <w:t xml:space="preserve">názvem </w:t>
      </w:r>
      <w:r w:rsidRPr="00F6641E">
        <w:rPr>
          <w:rFonts w:ascii="Arial" w:hAnsi="Arial" w:cs="Arial"/>
          <w:sz w:val="22"/>
          <w:szCs w:val="22"/>
        </w:rPr>
        <w:t xml:space="preserve">„DNS </w:t>
      </w:r>
      <w:r w:rsidR="008954B9" w:rsidRPr="00F6641E">
        <w:rPr>
          <w:rFonts w:ascii="Arial" w:hAnsi="Arial" w:cs="Arial"/>
          <w:sz w:val="22"/>
          <w:szCs w:val="22"/>
        </w:rPr>
        <w:t>7</w:t>
      </w:r>
      <w:r w:rsidRPr="00F6641E">
        <w:rPr>
          <w:rFonts w:ascii="Arial" w:hAnsi="Arial" w:cs="Arial"/>
          <w:sz w:val="22"/>
          <w:szCs w:val="22"/>
        </w:rPr>
        <w:t xml:space="preserve"> - Dynamický nákupní systém k zadávání VZ na vytyčení po KoPÚ v</w:t>
      </w:r>
      <w:r w:rsidR="002E7458" w:rsidRPr="00F6641E">
        <w:rPr>
          <w:rFonts w:ascii="Arial" w:hAnsi="Arial" w:cs="Arial"/>
          <w:sz w:val="22"/>
          <w:szCs w:val="22"/>
        </w:rPr>
        <w:t>e Zlíns</w:t>
      </w:r>
      <w:r w:rsidRPr="00F6641E">
        <w:rPr>
          <w:rFonts w:ascii="Arial" w:hAnsi="Arial" w:cs="Arial"/>
          <w:sz w:val="22"/>
          <w:szCs w:val="22"/>
        </w:rPr>
        <w:t>kém kraji“</w:t>
      </w:r>
      <w:r w:rsidRPr="00F6641E">
        <w:rPr>
          <w:rFonts w:ascii="Arial" w:hAnsi="Arial" w:cs="Arial"/>
          <w:b w:val="0"/>
          <w:bCs/>
          <w:sz w:val="22"/>
          <w:szCs w:val="22"/>
        </w:rPr>
        <w:t xml:space="preserve"> evidovaném ve Věstníku veřejných zakázek pod číslem </w:t>
      </w:r>
      <w:r w:rsidR="002E7458" w:rsidRPr="00F6641E">
        <w:rPr>
          <w:rFonts w:ascii="Arial" w:hAnsi="Arial" w:cs="Arial"/>
          <w:b w:val="0"/>
          <w:bCs/>
          <w:sz w:val="22"/>
          <w:szCs w:val="22"/>
        </w:rPr>
        <w:t xml:space="preserve">Z2025-012816 </w:t>
      </w:r>
      <w:r w:rsidRPr="00F6641E">
        <w:rPr>
          <w:rFonts w:ascii="Arial" w:hAnsi="Arial" w:cs="Arial"/>
          <w:b w:val="0"/>
          <w:bCs/>
          <w:sz w:val="22"/>
          <w:szCs w:val="22"/>
        </w:rPr>
        <w:t>k</w:t>
      </w:r>
      <w:r w:rsidR="002E7458" w:rsidRPr="00F6641E">
        <w:rPr>
          <w:rFonts w:ascii="Arial" w:hAnsi="Arial" w:cs="Arial"/>
          <w:b w:val="0"/>
          <w:bCs/>
          <w:sz w:val="22"/>
          <w:szCs w:val="22"/>
        </w:rPr>
        <w:t> </w:t>
      </w:r>
      <w:r w:rsidRPr="00F6641E">
        <w:rPr>
          <w:rFonts w:ascii="Arial" w:hAnsi="Arial" w:cs="Arial"/>
          <w:b w:val="0"/>
          <w:bCs/>
          <w:sz w:val="22"/>
          <w:szCs w:val="22"/>
        </w:rPr>
        <w:t>podání nabídky na výše uvedenou veřejnou zakázku.</w:t>
      </w:r>
    </w:p>
    <w:p w14:paraId="493FEB59" w14:textId="101EEA7D" w:rsidR="008977BC" w:rsidRPr="00F6641E" w:rsidRDefault="00255072" w:rsidP="00710DA9">
      <w:pPr>
        <w:pStyle w:val="Nadpis1"/>
        <w:keepNext w:val="0"/>
        <w:keepLines w:val="0"/>
        <w:numPr>
          <w:ilvl w:val="0"/>
          <w:numId w:val="0"/>
        </w:numPr>
        <w:spacing w:before="0" w:after="120" w:line="240" w:lineRule="auto"/>
        <w:jc w:val="both"/>
        <w:rPr>
          <w:rFonts w:ascii="Arial" w:hAnsi="Arial" w:cs="Arial"/>
          <w:b w:val="0"/>
          <w:bCs/>
          <w:sz w:val="22"/>
          <w:szCs w:val="22"/>
        </w:rPr>
      </w:pPr>
      <w:r w:rsidRPr="00F6641E">
        <w:rPr>
          <w:rFonts w:ascii="Arial" w:hAnsi="Arial" w:cs="Arial"/>
          <w:b w:val="0"/>
          <w:bCs/>
          <w:sz w:val="22"/>
          <w:szCs w:val="22"/>
        </w:rPr>
        <w:t>Tato zadávací dokumentace obsahující vymezení předmětu veřejné zakázky a další informace, se vztahuje k veřejné zakázce zadávané v rámci DNS a stanoví podrobnosti nezbytné pro zpracování a podání nabídek na plnění této veřejné zakázky.</w:t>
      </w:r>
    </w:p>
    <w:p w14:paraId="6297F877" w14:textId="77777777" w:rsidR="003E57D5" w:rsidRPr="00F6641E" w:rsidRDefault="003E57D5" w:rsidP="00710DA9">
      <w:pPr>
        <w:spacing w:after="120"/>
        <w:jc w:val="both"/>
        <w:rPr>
          <w:lang w:eastAsia="cs-CZ"/>
        </w:rPr>
      </w:pPr>
      <w:r w:rsidRPr="00F6641E">
        <w:rPr>
          <w:lang w:eastAsia="cs-CZ"/>
        </w:rPr>
        <w:t>Tato zadávací dokumentace je soubor dokumentů, údajů a požadavků zadavatele vymezující podrobnosti nezbytné pro vypracování a podání nabídek dodavatelů na výše uvedenou veřejnou zakázky zadávanou podle § 141 ZZVZ.</w:t>
      </w:r>
    </w:p>
    <w:p w14:paraId="7A252C9B" w14:textId="43CB2003" w:rsidR="00E72620" w:rsidRPr="00F6641E" w:rsidRDefault="00E72620" w:rsidP="00710DA9">
      <w:pPr>
        <w:spacing w:after="120"/>
        <w:jc w:val="both"/>
        <w:rPr>
          <w:lang w:eastAsia="cs-CZ"/>
        </w:rPr>
      </w:pPr>
      <w:r w:rsidRPr="00F6641E">
        <w:rPr>
          <w:lang w:eastAsia="cs-CZ"/>
        </w:rPr>
        <w:lastRenderedPageBreak/>
        <w:t>Tento dokument současně plní funkci výzvy na podání nabídky na plnění veřejné zakázky zadávané v rámci DNS ve smyslu § 141 ZZVZ.</w:t>
      </w:r>
    </w:p>
    <w:p w14:paraId="7F2D2F77" w14:textId="741B393C" w:rsidR="00E72620" w:rsidRPr="00F6641E" w:rsidRDefault="00E72620" w:rsidP="00710DA9">
      <w:pPr>
        <w:spacing w:after="120"/>
        <w:jc w:val="both"/>
        <w:rPr>
          <w:lang w:eastAsia="cs-CZ"/>
        </w:rPr>
      </w:pPr>
      <w:r w:rsidRPr="00F6641E">
        <w:rPr>
          <w:lang w:eastAsia="cs-CZ"/>
        </w:rPr>
        <w:t xml:space="preserve">Veškeré písemnosti zasílané prostřednictvím elektronického nástroje E-ZAK se považují za řádně doručené dnem jejich dodání do uživatelského účtu adresáta písemnosti v elektronickém nástroji E-ZAK. Na doručení písemnosti nemá vliv, zda byla písemnost jejím adresátem přečtena, případně zda elektronický nástroj adresátovi poslal na kontaktní </w:t>
      </w:r>
      <w:r w:rsidR="0007024D" w:rsidRPr="00F6641E">
        <w:rPr>
          <w:lang w:eastAsia="cs-CZ"/>
        </w:rPr>
        <w:br/>
      </w:r>
      <w:r w:rsidRPr="00F6641E">
        <w:rPr>
          <w:lang w:eastAsia="cs-CZ"/>
        </w:rPr>
        <w:t xml:space="preserve">e-mailovou adresu upozornění o tom, že na jeho uživatelský účet v elektronickém nástroji </w:t>
      </w:r>
      <w:r w:rsidR="0007024D" w:rsidRPr="00F6641E">
        <w:rPr>
          <w:lang w:eastAsia="cs-CZ"/>
        </w:rPr>
        <w:br/>
      </w:r>
      <w:r w:rsidRPr="00F6641E">
        <w:rPr>
          <w:lang w:eastAsia="cs-CZ"/>
        </w:rPr>
        <w:t>E-ZAK byla doručena nová zpráva, či nikoli. Za řádné a včasné seznamování se s</w:t>
      </w:r>
      <w:r w:rsidR="0007024D" w:rsidRPr="00F6641E">
        <w:rPr>
          <w:lang w:eastAsia="cs-CZ"/>
        </w:rPr>
        <w:t> </w:t>
      </w:r>
      <w:r w:rsidRPr="00F6641E">
        <w:rPr>
          <w:lang w:eastAsia="cs-CZ"/>
        </w:rPr>
        <w:t>písemnostmi zasílanými zadavatelem prostřednictvím elektronického nástroje E-ZAK jakož i za správnost kontaktních údajů uvedených u dodavatele odpovídá vždy dodavatel.</w:t>
      </w:r>
    </w:p>
    <w:p w14:paraId="0382DD7F" w14:textId="12BDBC30" w:rsidR="00E72620" w:rsidRPr="00F6641E" w:rsidRDefault="00E72620" w:rsidP="00710DA9">
      <w:pPr>
        <w:spacing w:after="120"/>
        <w:jc w:val="both"/>
        <w:rPr>
          <w:lang w:eastAsia="cs-CZ"/>
        </w:rPr>
      </w:pPr>
      <w:r w:rsidRPr="00F6641E">
        <w:rPr>
          <w:lang w:eastAsia="cs-CZ"/>
        </w:rPr>
        <w:t>Zadavatel doporučuje, aby se dodavatel před podáním nabídky podrobně seznámil se</w:t>
      </w:r>
      <w:r w:rsidR="0007024D" w:rsidRPr="00F6641E">
        <w:rPr>
          <w:lang w:eastAsia="cs-CZ"/>
        </w:rPr>
        <w:t> </w:t>
      </w:r>
      <w:r w:rsidRPr="00F6641E">
        <w:rPr>
          <w:lang w:eastAsia="cs-CZ"/>
        </w:rPr>
        <w:t>zadávacími podmínkami včetně případného vysvětlení/doplnění zadávací dokumentace a</w:t>
      </w:r>
      <w:r w:rsidR="0007024D" w:rsidRPr="00F6641E">
        <w:rPr>
          <w:lang w:eastAsia="cs-CZ"/>
        </w:rPr>
        <w:t> </w:t>
      </w:r>
      <w:r w:rsidRPr="00F6641E">
        <w:rPr>
          <w:lang w:eastAsia="cs-CZ"/>
        </w:rPr>
        <w:t>vyjasnil si ještě před podáním nabídky případné nejasnosti.</w:t>
      </w:r>
    </w:p>
    <w:p w14:paraId="422B6FEF" w14:textId="4E780EF4" w:rsidR="00E72620" w:rsidRPr="00F6641E" w:rsidRDefault="00E72620" w:rsidP="00710DA9">
      <w:pPr>
        <w:spacing w:after="120"/>
        <w:jc w:val="both"/>
        <w:rPr>
          <w:b/>
          <w:bCs/>
          <w:lang w:eastAsia="cs-CZ"/>
        </w:rPr>
      </w:pPr>
      <w:r w:rsidRPr="00F6641E">
        <w:rPr>
          <w:b/>
          <w:bCs/>
          <w:lang w:eastAsia="cs-CZ"/>
        </w:rPr>
        <w:t>Řízení o zadání veřejné zakázky v zavedeném DNS není zadávacím řízením podle § 3 ZZVZ, ale zvláštním postupem v souladu s § 2 odst. 3 a částí šestou ZZVZ. Zadavatel na tento postup použije přiměřeně ustanovení o zadávacím řízení, zejména pak § 46, § 48, § 48a, § 98, § 99, § 113, § 122, § 125 a §127 ZZVZ.</w:t>
      </w:r>
    </w:p>
    <w:p w14:paraId="05020635" w14:textId="536A82CB" w:rsidR="00D135C5" w:rsidRPr="00F6641E" w:rsidRDefault="00D135C5" w:rsidP="00832D14">
      <w:pPr>
        <w:pStyle w:val="Nadpis2"/>
        <w:ind w:left="709" w:hanging="709"/>
      </w:pPr>
      <w:r w:rsidRPr="00F6641E">
        <w:t>INFORMACE O PŘÍSTUPU K ZADÁVACÍ DOKUMENTACI</w:t>
      </w:r>
    </w:p>
    <w:p w14:paraId="39B4D7FA" w14:textId="7A2F0FE1" w:rsidR="00D135C5" w:rsidRPr="00F6641E" w:rsidRDefault="00D135C5" w:rsidP="00D135C5">
      <w:pPr>
        <w:spacing w:after="120"/>
        <w:jc w:val="both"/>
        <w:rPr>
          <w:lang w:eastAsia="cs-CZ"/>
        </w:rPr>
      </w:pPr>
      <w:r w:rsidRPr="00F6641E">
        <w:rPr>
          <w:lang w:eastAsia="cs-CZ"/>
        </w:rPr>
        <w:t xml:space="preserve">Zadávací dokumentace pro vstup do DNS je volně přístupná v elektronickém nástroji E-ZAK na adrese: </w:t>
      </w:r>
      <w:r w:rsidR="006D28E4" w:rsidRPr="00F6641E">
        <w:rPr>
          <w:lang w:eastAsia="cs-CZ"/>
        </w:rPr>
        <w:t>https://zakazky.spucr.cz/dns00000010</w:t>
      </w:r>
    </w:p>
    <w:p w14:paraId="422F394D" w14:textId="69CE588D" w:rsidR="00D135C5" w:rsidRPr="00F6641E" w:rsidRDefault="00D135C5" w:rsidP="00CF5623">
      <w:pPr>
        <w:spacing w:after="120"/>
        <w:jc w:val="both"/>
        <w:rPr>
          <w:lang w:eastAsia="cs-CZ"/>
        </w:rPr>
      </w:pPr>
      <w:r w:rsidRPr="00F6641E">
        <w:rPr>
          <w:lang w:eastAsia="cs-CZ"/>
        </w:rPr>
        <w:t>Tato výzva s náležitostmi zadávací dokumentace je podle § 141 odst. 1 ZZVZ rozesílána všem dodavatelům zařazeným do DNS.</w:t>
      </w:r>
    </w:p>
    <w:p w14:paraId="612F8D9C" w14:textId="390873A6" w:rsidR="0046683F" w:rsidRPr="00F6641E" w:rsidRDefault="0046683F" w:rsidP="00CF5623">
      <w:pPr>
        <w:pStyle w:val="Nadpis1"/>
        <w:spacing w:after="120" w:line="240" w:lineRule="auto"/>
        <w:ind w:left="357" w:hanging="357"/>
        <w:jc w:val="both"/>
        <w:rPr>
          <w:rFonts w:ascii="Arial" w:hAnsi="Arial" w:cs="Arial"/>
          <w:sz w:val="28"/>
          <w:szCs w:val="28"/>
        </w:rPr>
      </w:pPr>
      <w:r w:rsidRPr="00F6641E">
        <w:rPr>
          <w:rFonts w:ascii="Arial" w:hAnsi="Arial" w:cs="Arial"/>
          <w:sz w:val="28"/>
          <w:szCs w:val="28"/>
        </w:rPr>
        <w:t>POŽADAVKY ZADAVATELE NA PŘEDMĚT ZAKÁZKY</w:t>
      </w:r>
      <w:bookmarkEnd w:id="2"/>
    </w:p>
    <w:p w14:paraId="78587E5F" w14:textId="77777777" w:rsidR="00EC79F8" w:rsidRPr="00F6641E" w:rsidRDefault="0046683F" w:rsidP="00EC79F8">
      <w:pPr>
        <w:pStyle w:val="Nadpis2"/>
        <w:ind w:left="709" w:hanging="709"/>
      </w:pPr>
      <w:r w:rsidRPr="00F6641E">
        <w:t xml:space="preserve">PŘEDMĚT PLNĚNÍ </w:t>
      </w:r>
    </w:p>
    <w:p w14:paraId="74AF9019" w14:textId="16BD9700" w:rsidR="00777BF0" w:rsidRPr="00F6641E" w:rsidRDefault="00777BF0" w:rsidP="00777BF0">
      <w:pPr>
        <w:pStyle w:val="Nadpis2"/>
        <w:numPr>
          <w:ilvl w:val="0"/>
          <w:numId w:val="0"/>
        </w:numPr>
        <w:spacing w:before="240" w:line="240" w:lineRule="auto"/>
        <w:contextualSpacing w:val="0"/>
        <w:rPr>
          <w:rFonts w:eastAsiaTheme="minorEastAsia" w:cs="Arial"/>
          <w:b w:val="0"/>
          <w:sz w:val="22"/>
          <w:szCs w:val="20"/>
          <w:lang w:eastAsia="en-US"/>
        </w:rPr>
      </w:pPr>
      <w:r w:rsidRPr="00F6641E">
        <w:rPr>
          <w:rFonts w:eastAsiaTheme="minorEastAsia" w:cs="Arial"/>
          <w:b w:val="0"/>
          <w:sz w:val="22"/>
          <w:szCs w:val="20"/>
          <w:lang w:eastAsia="en-US"/>
        </w:rPr>
        <w:t>Předmětem veřejné zakázky je vytyčení a stabilizace vlastnických hranic pozemků po</w:t>
      </w:r>
      <w:r w:rsidR="00445D9E" w:rsidRPr="00F6641E">
        <w:rPr>
          <w:rFonts w:eastAsiaTheme="minorEastAsia" w:cs="Arial"/>
          <w:b w:val="0"/>
          <w:sz w:val="22"/>
          <w:szCs w:val="20"/>
          <w:lang w:eastAsia="en-US"/>
        </w:rPr>
        <w:t> </w:t>
      </w:r>
      <w:r w:rsidRPr="00F6641E">
        <w:rPr>
          <w:rFonts w:eastAsiaTheme="minorEastAsia" w:cs="Arial"/>
          <w:b w:val="0"/>
          <w:sz w:val="22"/>
          <w:szCs w:val="20"/>
          <w:lang w:eastAsia="en-US"/>
        </w:rPr>
        <w:t>provedených komplexních pozemkových úpravách v níže uvedených katastrálních územích a v předpokládaném rozsahu, včetně vyhotovení záznamu podrobného měření změn („ZPMZ“), na základě žádostí vlastníků (podaných u Státního pozemkového úřadu), ve smyslu ust. § 12 odst. 2 zákona č. 139/2002 Sb., o pozemkových úpravách a pozemkových úřadech a o změně zákona č. 229/1991 Sb., o úpravě vlastnických vztahů k půdě a jinému zemědělskému majetku, ve znění pozdějších předpisů. Geodetické práce a výsledky veřejné zakázky musí odpovídat zákonu č. 256/2013 Sb., o katastru nemovitostí, ve znění pozdějších předpisů, a vyhlášce č. 357/2013 Sb., o katastru nemovitostí, ve znění pozdějších předpisů.</w:t>
      </w:r>
    </w:p>
    <w:p w14:paraId="682A2CD3" w14:textId="77777777" w:rsidR="009D186D" w:rsidRPr="00F6641E" w:rsidRDefault="009D186D" w:rsidP="009D186D">
      <w:pPr>
        <w:spacing w:after="120"/>
        <w:rPr>
          <w:b/>
          <w:bCs/>
        </w:rPr>
      </w:pPr>
      <w:r w:rsidRPr="00F6641E">
        <w:rPr>
          <w:b/>
          <w:bCs/>
        </w:rPr>
        <w:t>Předpokládaný rozsah plnění:</w:t>
      </w:r>
    </w:p>
    <w:p w14:paraId="505970D3" w14:textId="29DD0FC8" w:rsidR="00445D9E" w:rsidRPr="00F6641E" w:rsidRDefault="009D186D" w:rsidP="00A310B8">
      <w:pPr>
        <w:spacing w:after="120"/>
        <w:jc w:val="both"/>
      </w:pPr>
      <w:r w:rsidRPr="00F6641E">
        <w:t xml:space="preserve">Vytyčení a stabilizace vlastnických hranic pozemků po provedených komplexních pozemkových úpravách v katastrálních územích </w:t>
      </w:r>
      <w:r w:rsidR="00253D00" w:rsidRPr="00F6641E">
        <w:t xml:space="preserve">Zubří, Veselá u Valašského Meziříčí a Vysoká u Valašského Meziříčí </w:t>
      </w:r>
      <w:r w:rsidRPr="00F6641E">
        <w:t xml:space="preserve">v celkovém rozsahu </w:t>
      </w:r>
      <w:r w:rsidR="000B46FD" w:rsidRPr="00F6641E">
        <w:t>231</w:t>
      </w:r>
      <w:r w:rsidRPr="00F6641E">
        <w:t xml:space="preserve"> MJ. (1 MJ = 100 bm vytyčované hranice)</w:t>
      </w:r>
    </w:p>
    <w:p w14:paraId="02F4513F" w14:textId="77777777" w:rsidR="00A310B8" w:rsidRPr="00F6641E" w:rsidRDefault="00A310B8" w:rsidP="00A310B8">
      <w:pPr>
        <w:spacing w:after="120"/>
      </w:pPr>
      <w:r w:rsidRPr="00F6641E">
        <w:t>konkrétně:</w:t>
      </w:r>
    </w:p>
    <w:p w14:paraId="7BF06395" w14:textId="55249807" w:rsidR="002E6D0B" w:rsidRPr="00F6641E" w:rsidRDefault="002E6D0B" w:rsidP="00A82994">
      <w:pPr>
        <w:ind w:left="3969" w:hanging="3969"/>
      </w:pPr>
      <w:r w:rsidRPr="00F6641E">
        <w:t xml:space="preserve">k.ú. </w:t>
      </w:r>
      <w:r w:rsidR="000B46FD" w:rsidRPr="00F6641E">
        <w:t>Zubří</w:t>
      </w:r>
      <w:r w:rsidR="000A612C" w:rsidRPr="00F6641E">
        <w:tab/>
      </w:r>
      <w:r w:rsidR="0095490C" w:rsidRPr="00F6641E">
        <w:t xml:space="preserve">     </w:t>
      </w:r>
      <w:r w:rsidR="00B0772D" w:rsidRPr="00F6641E">
        <w:t>1</w:t>
      </w:r>
      <w:r w:rsidR="00A67AFF" w:rsidRPr="00F6641E">
        <w:t>50</w:t>
      </w:r>
      <w:r w:rsidRPr="00F6641E">
        <w:t xml:space="preserve"> MJ</w:t>
      </w:r>
    </w:p>
    <w:p w14:paraId="5029500D" w14:textId="03FD7498" w:rsidR="002E6D0B" w:rsidRPr="00F6641E" w:rsidRDefault="002E6D0B" w:rsidP="00A82994">
      <w:pPr>
        <w:ind w:left="3969" w:hanging="3969"/>
      </w:pPr>
      <w:r w:rsidRPr="00F6641E">
        <w:t xml:space="preserve">k.ú. </w:t>
      </w:r>
      <w:r w:rsidR="000B46FD" w:rsidRPr="00F6641E">
        <w:t>Veselá u Valašského Meziříčí</w:t>
      </w:r>
      <w:r w:rsidR="000A612C" w:rsidRPr="00F6641E">
        <w:tab/>
      </w:r>
      <w:r w:rsidR="00A45A79" w:rsidRPr="00F6641E">
        <w:t xml:space="preserve">     </w:t>
      </w:r>
      <w:r w:rsidR="00A67AFF" w:rsidRPr="00F6641E">
        <w:t xml:space="preserve">  76</w:t>
      </w:r>
      <w:r w:rsidRPr="00F6641E">
        <w:t xml:space="preserve"> MJ</w:t>
      </w:r>
    </w:p>
    <w:p w14:paraId="3AAEEA3C" w14:textId="01E2BBE9" w:rsidR="00BE5D78" w:rsidRPr="00F6641E" w:rsidRDefault="00975C2F" w:rsidP="00637806">
      <w:pPr>
        <w:spacing w:after="120"/>
        <w:ind w:left="3969" w:hanging="3969"/>
        <w:rPr>
          <w:u w:val="single"/>
        </w:rPr>
      </w:pPr>
      <w:r w:rsidRPr="00F6641E">
        <w:rPr>
          <w:u w:val="single"/>
        </w:rPr>
        <w:t xml:space="preserve">k.ú. </w:t>
      </w:r>
      <w:r w:rsidR="00A67AFF" w:rsidRPr="00F6641E">
        <w:rPr>
          <w:u w:val="single"/>
        </w:rPr>
        <w:t>Vysoká u Valašského Meziříčí</w:t>
      </w:r>
      <w:r w:rsidR="00637806" w:rsidRPr="00F6641E">
        <w:rPr>
          <w:u w:val="single"/>
        </w:rPr>
        <w:tab/>
      </w:r>
      <w:r w:rsidR="00A45A79" w:rsidRPr="00F6641E">
        <w:rPr>
          <w:u w:val="single"/>
        </w:rPr>
        <w:t xml:space="preserve">     </w:t>
      </w:r>
      <w:r w:rsidR="0095490C" w:rsidRPr="00F6641E">
        <w:rPr>
          <w:u w:val="single"/>
        </w:rPr>
        <w:t xml:space="preserve">    5</w:t>
      </w:r>
      <w:r w:rsidR="00637806" w:rsidRPr="00F6641E">
        <w:rPr>
          <w:u w:val="single"/>
        </w:rPr>
        <w:t xml:space="preserve"> MJ</w:t>
      </w:r>
    </w:p>
    <w:p w14:paraId="378EF595" w14:textId="34EDC95B" w:rsidR="00A310B8" w:rsidRPr="00F6641E" w:rsidRDefault="00A310B8" w:rsidP="00A82994">
      <w:pPr>
        <w:spacing w:after="120"/>
        <w:ind w:left="3969" w:hanging="3969"/>
      </w:pPr>
      <w:r w:rsidRPr="00F6641E">
        <w:t xml:space="preserve">celkem: </w:t>
      </w:r>
      <w:r w:rsidR="0079261C" w:rsidRPr="00F6641E">
        <w:tab/>
      </w:r>
      <w:r w:rsidR="00865D2A" w:rsidRPr="00F6641E">
        <w:t xml:space="preserve">     </w:t>
      </w:r>
      <w:r w:rsidR="0095490C" w:rsidRPr="00F6641E">
        <w:t>231</w:t>
      </w:r>
      <w:r w:rsidRPr="00F6641E">
        <w:t xml:space="preserve"> MJ</w:t>
      </w:r>
    </w:p>
    <w:p w14:paraId="027025D5" w14:textId="77777777" w:rsidR="00A310B8" w:rsidRPr="00F6641E" w:rsidRDefault="00A310B8" w:rsidP="007C7CE9">
      <w:pPr>
        <w:spacing w:after="120"/>
        <w:jc w:val="both"/>
      </w:pPr>
      <w:r w:rsidRPr="00F6641E">
        <w:t>Konkrétní popis předmětu veřejné zakázky je uveden v Návrhu smlouvy o dílo (dále také „návrh smlouvy“), který je Přílohou č. 2 této výzvy.</w:t>
      </w:r>
    </w:p>
    <w:p w14:paraId="04072A20" w14:textId="01EC1C1A" w:rsidR="00A310B8" w:rsidRPr="00F6641E" w:rsidRDefault="00A310B8" w:rsidP="00416E9E">
      <w:pPr>
        <w:spacing w:after="120"/>
        <w:jc w:val="both"/>
      </w:pPr>
      <w:r w:rsidRPr="00F6641E">
        <w:t>Seznam parcel k vytyčení je uveden v Příloze č. 3 této výzvy. Zákres vytyčovaných hranic ve formátu *.dgn je Přílohou č. 4 této výzvy.</w:t>
      </w:r>
    </w:p>
    <w:p w14:paraId="39729BB3" w14:textId="73B5A850" w:rsidR="0046683F" w:rsidRPr="00F6641E" w:rsidRDefault="00464282" w:rsidP="00655615">
      <w:pPr>
        <w:pStyle w:val="Nadpis2"/>
        <w:spacing w:line="240" w:lineRule="auto"/>
        <w:ind w:left="709" w:hanging="709"/>
      </w:pPr>
      <w:r w:rsidRPr="00F6641E">
        <w:lastRenderedPageBreak/>
        <w:t>POSOUZENÍ MIMOŘÁDNĚ NÍZKÉ NABÍDKOVÉ CENY</w:t>
      </w:r>
    </w:p>
    <w:p w14:paraId="7F40E100" w14:textId="7D213249" w:rsidR="003B5C70" w:rsidRPr="00F6641E" w:rsidRDefault="00464282" w:rsidP="00BC4C73">
      <w:pPr>
        <w:spacing w:before="120" w:after="120"/>
        <w:jc w:val="both"/>
        <w:rPr>
          <w:strike/>
        </w:rPr>
      </w:pPr>
      <w:r w:rsidRPr="00F6641E">
        <w:t>V rámci řízení o zadání veřejné zakázky v DNS bude zadavatel také posuzovat nabídkové ceny dodavatelů z hlediska toho, zda neobsahují mimořádně nízkou nabídkovou cenu.</w:t>
      </w:r>
    </w:p>
    <w:p w14:paraId="35CEC024" w14:textId="34D60608" w:rsidR="0046683F" w:rsidRPr="00F6641E" w:rsidRDefault="00615E9E" w:rsidP="00655615">
      <w:pPr>
        <w:pStyle w:val="Nadpis2"/>
        <w:spacing w:line="240" w:lineRule="auto"/>
        <w:ind w:left="709" w:hanging="709"/>
      </w:pPr>
      <w:r w:rsidRPr="00F6641E">
        <w:t>MÍSTO PLNĚNÍ</w:t>
      </w:r>
    </w:p>
    <w:p w14:paraId="57ADE3CB" w14:textId="4961B1CC" w:rsidR="0046683F" w:rsidRPr="00F6641E" w:rsidRDefault="0046683F" w:rsidP="00435A4A">
      <w:pPr>
        <w:spacing w:before="120" w:after="60"/>
        <w:jc w:val="both"/>
      </w:pPr>
      <w:r w:rsidRPr="00F6641E">
        <w:t>Místem plnění j</w:t>
      </w:r>
      <w:r w:rsidR="00C54479" w:rsidRPr="00F6641E">
        <w:t xml:space="preserve">sou </w:t>
      </w:r>
      <w:bookmarkStart w:id="3" w:name="_Hlk15891693"/>
      <w:r w:rsidR="00C54479" w:rsidRPr="00F6641E">
        <w:t xml:space="preserve">katastrální území okresu </w:t>
      </w:r>
      <w:r w:rsidR="0072069B" w:rsidRPr="00F6641E">
        <w:t>Vsetín</w:t>
      </w:r>
      <w:r w:rsidR="00C54479" w:rsidRPr="00F6641E">
        <w:t>:</w:t>
      </w:r>
      <w:bookmarkEnd w:id="3"/>
      <w:r w:rsidR="003C3629" w:rsidRPr="00F6641E">
        <w:t xml:space="preserve"> </w:t>
      </w:r>
      <w:r w:rsidR="00DF6987" w:rsidRPr="00F6641E">
        <w:t>Zubří, Veselá u Valašského Meziříčí a</w:t>
      </w:r>
      <w:r w:rsidR="00E066EE" w:rsidRPr="00F6641E">
        <w:t> </w:t>
      </w:r>
      <w:r w:rsidR="00DF6987" w:rsidRPr="00F6641E">
        <w:t>Vysoká u Valašského Meziříčí</w:t>
      </w:r>
      <w:r w:rsidR="00B3557B" w:rsidRPr="00F6641E">
        <w:t>.</w:t>
      </w:r>
    </w:p>
    <w:p w14:paraId="4508BDDC" w14:textId="19A56D3E" w:rsidR="00406C13" w:rsidRPr="00F6641E" w:rsidRDefault="0046683F" w:rsidP="0054367A">
      <w:pPr>
        <w:rPr>
          <w:rFonts w:cs="Arial"/>
          <w:szCs w:val="20"/>
        </w:rPr>
      </w:pPr>
      <w:r w:rsidRPr="00F6641E">
        <w:t xml:space="preserve">Místem pro protokolární předání díla je: Státní pozemkový úřad, Krajský pozemkový úřad pro Zlínský kraj, </w:t>
      </w:r>
      <w:r w:rsidR="008A3F1E" w:rsidRPr="00F6641E">
        <w:t>Pobočka Vsetín, 4.května 287, 755 01 Vsetín</w:t>
      </w:r>
      <w:r w:rsidR="0020084B" w:rsidRPr="00F6641E">
        <w:t>.</w:t>
      </w:r>
    </w:p>
    <w:p w14:paraId="7B6875F6" w14:textId="47277E91" w:rsidR="00406C13" w:rsidRPr="00F6641E" w:rsidRDefault="00615E9E" w:rsidP="00406C13">
      <w:pPr>
        <w:keepNext/>
        <w:keepLines/>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t>DOBA PLNĚNÍ</w:t>
      </w:r>
    </w:p>
    <w:p w14:paraId="02C8579D" w14:textId="77777777" w:rsidR="0022261E" w:rsidRPr="00F6641E" w:rsidRDefault="0022261E" w:rsidP="00615E9E">
      <w:pPr>
        <w:spacing w:after="120"/>
        <w:jc w:val="both"/>
      </w:pPr>
      <w:r w:rsidRPr="00F6641E">
        <w:t>Předpokládaný termín zahájení realizace služeb:</w:t>
      </w:r>
    </w:p>
    <w:p w14:paraId="5AD5CE2B" w14:textId="77777777" w:rsidR="0022261E" w:rsidRPr="00F6641E" w:rsidRDefault="0022261E" w:rsidP="00615E9E">
      <w:pPr>
        <w:spacing w:after="120"/>
        <w:jc w:val="both"/>
        <w:rPr>
          <w:b/>
          <w:bCs/>
        </w:rPr>
      </w:pPr>
      <w:r w:rsidRPr="00F6641E">
        <w:rPr>
          <w:b/>
          <w:bCs/>
        </w:rPr>
        <w:t>Ihned po ukončení zadávacího řízení a nabytí účinnosti smlouvy o dílo.</w:t>
      </w:r>
    </w:p>
    <w:p w14:paraId="575320F0" w14:textId="77777777" w:rsidR="0022261E" w:rsidRPr="00F6641E" w:rsidRDefault="0022261E" w:rsidP="00615E9E">
      <w:pPr>
        <w:spacing w:after="120"/>
        <w:jc w:val="both"/>
      </w:pPr>
      <w:r w:rsidRPr="00F6641E">
        <w:t xml:space="preserve">Požadovaný termín dokončení realizace služeb (protokolární předání a převzetí řádně dokončených služeb): </w:t>
      </w:r>
      <w:r w:rsidRPr="00F6641E">
        <w:rPr>
          <w:b/>
          <w:bCs/>
        </w:rPr>
        <w:t>bude určen dle hodnoty dílčího hodnotícího kritéria č. 2.</w:t>
      </w:r>
    </w:p>
    <w:p w14:paraId="2B237573" w14:textId="77777777" w:rsidR="0022261E" w:rsidRPr="00F6641E" w:rsidRDefault="0022261E" w:rsidP="00615E9E">
      <w:pPr>
        <w:spacing w:after="120"/>
        <w:jc w:val="both"/>
      </w:pPr>
      <w:r w:rsidRPr="00F6641E">
        <w:t>Následující pracovní den po nabytí účinnosti smlouvy začne běžet lhůta k odevzdání dokončeného díla v délce odpovídající hodnotě dílčího hodnotícího kritéria č. 2 uvedené dodavatelem v nabídce. Den, který připadne na poslední den lhůty, je stanoven jako limitní termín.</w:t>
      </w:r>
    </w:p>
    <w:p w14:paraId="5ECAAC3F" w14:textId="0A5D8397" w:rsidR="008837F3" w:rsidRPr="00F6641E" w:rsidRDefault="0022261E" w:rsidP="00615E9E">
      <w:pPr>
        <w:spacing w:after="120"/>
        <w:jc w:val="both"/>
      </w:pPr>
      <w:r w:rsidRPr="00F6641E">
        <w:t>Zadavatelem stanovený požadovaný termín dokončení realizace služeb je dnem, kdy dojde mezi objednatelem a dodavatelem k protokolárnímu předání a převzetí dokončené poslední služby.</w:t>
      </w:r>
    </w:p>
    <w:p w14:paraId="5907319B" w14:textId="788B31DD" w:rsidR="005D77B5" w:rsidRPr="00F6641E" w:rsidRDefault="005D77B5" w:rsidP="005D77B5">
      <w:pPr>
        <w:keepNext/>
        <w:keepLines/>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t>PROHLÍDKA MÍSTA PLNĚNÍ</w:t>
      </w:r>
    </w:p>
    <w:p w14:paraId="0406DDAB" w14:textId="77777777" w:rsidR="005D77B5" w:rsidRPr="00F6641E" w:rsidRDefault="005D77B5" w:rsidP="005D77B5">
      <w:pPr>
        <w:spacing w:after="120"/>
        <w:jc w:val="both"/>
      </w:pPr>
      <w:r w:rsidRPr="00F6641E">
        <w:t>Zadavatel prohlídku místa plnění veřejné zakázky nepředpokládá. Místo plnění je volně přístupné.</w:t>
      </w:r>
    </w:p>
    <w:p w14:paraId="16729688" w14:textId="4687009F" w:rsidR="005D77B5" w:rsidRPr="00F6641E" w:rsidRDefault="005D77B5" w:rsidP="005D77B5">
      <w:pPr>
        <w:keepNext/>
        <w:keepLines/>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t>TECHNICKÉ, OBCHODNÍ A PLATEBNÍ PODMÍNKY</w:t>
      </w:r>
    </w:p>
    <w:p w14:paraId="76AABA50" w14:textId="450595BB" w:rsidR="005D77B5" w:rsidRPr="00F6641E" w:rsidRDefault="005D77B5" w:rsidP="005D77B5">
      <w:pPr>
        <w:spacing w:after="120"/>
        <w:jc w:val="both"/>
      </w:pPr>
      <w:r w:rsidRPr="00F6641E">
        <w:t>Veškeré obchodní, platební a technické podmínky jsou stanoveny formou závazného vzoru Návrhu smlouvy o dílo, který je Přílohou č. 2 této Výzvy.</w:t>
      </w:r>
    </w:p>
    <w:p w14:paraId="7B43973E" w14:textId="2F2D3129" w:rsidR="0024532A" w:rsidRPr="00F6641E" w:rsidRDefault="0024532A" w:rsidP="0024532A">
      <w:pPr>
        <w:keepNext/>
        <w:keepLines/>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t>VYSVĚTLENÍ ZADÁVACÍ DOKUMENTACE</w:t>
      </w:r>
    </w:p>
    <w:p w14:paraId="6B0E12C4" w14:textId="77777777" w:rsidR="0024532A" w:rsidRPr="00F6641E" w:rsidRDefault="0024532A" w:rsidP="0024532A">
      <w:pPr>
        <w:spacing w:after="120"/>
        <w:jc w:val="both"/>
      </w:pPr>
      <w:r w:rsidRPr="00F6641E">
        <w:t xml:space="preserve">Dodavatelé jsou oprávněni žádat o vysvětlení zadávací dokumentace. Žádost musí být zadavateli doručena prostřednictvím elektronického nástroje E-ZAK, a to nejpozději </w:t>
      </w:r>
      <w:r w:rsidRPr="00F6641E">
        <w:rPr>
          <w:b/>
          <w:bCs/>
        </w:rPr>
        <w:t>do 3 pracovních dnů před koncem lhůty pro podání nabídek.</w:t>
      </w:r>
    </w:p>
    <w:p w14:paraId="15F2E31D" w14:textId="77777777" w:rsidR="0024532A" w:rsidRPr="00F6641E" w:rsidRDefault="0024532A" w:rsidP="0024532A">
      <w:pPr>
        <w:spacing w:after="120"/>
        <w:jc w:val="both"/>
      </w:pPr>
      <w:r w:rsidRPr="00F6641E">
        <w:t>Zadavatel odešle vysvětlení zadávací dokumentace, případně související dokumenty prostřednictvím elektronického nástroje E-ZAK nejpozději do 2 pracovních dnů od doručení žádosti.</w:t>
      </w:r>
    </w:p>
    <w:p w14:paraId="21FF9765" w14:textId="1E01741F" w:rsidR="0024532A" w:rsidRPr="00F6641E" w:rsidRDefault="0024532A" w:rsidP="0024532A">
      <w:pPr>
        <w:spacing w:after="120"/>
        <w:jc w:val="both"/>
      </w:pPr>
      <w:r w:rsidRPr="00F6641E">
        <w:t>Toto vysvětlení, včetně přesného znění žádosti (bez identifikace tazatele), poskytne zadavatel prostřednictvím elektronického nástroje E-ZAK zároveň všem dodavatelům zařazeným v</w:t>
      </w:r>
      <w:r w:rsidR="001C386A" w:rsidRPr="00F6641E">
        <w:t> </w:t>
      </w:r>
      <w:r w:rsidRPr="00F6641E">
        <w:t>dynamickém nákupním systému.</w:t>
      </w:r>
    </w:p>
    <w:p w14:paraId="655FB895" w14:textId="77777777" w:rsidR="0024532A" w:rsidRPr="00F6641E" w:rsidRDefault="0024532A" w:rsidP="0024532A">
      <w:pPr>
        <w:spacing w:after="120"/>
        <w:jc w:val="both"/>
      </w:pPr>
      <w:r w:rsidRPr="00F6641E">
        <w:t>V případě prodlení zadavatele s poskytnutím vysvětlení zadávací dokumentace se prodlouží lhůta pro podání nabídek o takový počet dnů, o který je zadavatel v prodlení s poskytnutím vysvětlení zadávací dokumentace.</w:t>
      </w:r>
    </w:p>
    <w:p w14:paraId="0B32F238" w14:textId="1A9D7B13" w:rsidR="00797963" w:rsidRPr="00F6641E" w:rsidRDefault="0024532A" w:rsidP="00615E9E">
      <w:pPr>
        <w:spacing w:after="120"/>
        <w:jc w:val="both"/>
      </w:pPr>
      <w:r w:rsidRPr="00F6641E">
        <w:t>Zadavatel může vysvětlit zadávací dokumentaci i bez doručení předchozí žádosti.</w:t>
      </w:r>
    </w:p>
    <w:p w14:paraId="203ED8F0" w14:textId="28BEC45D" w:rsidR="0046683F" w:rsidRPr="00F6641E" w:rsidRDefault="007F28B1" w:rsidP="00A31B43">
      <w:pPr>
        <w:pStyle w:val="Nadpis1"/>
        <w:keepNext w:val="0"/>
        <w:keepLines w:val="0"/>
        <w:spacing w:before="120" w:after="120" w:line="240" w:lineRule="auto"/>
        <w:jc w:val="both"/>
        <w:rPr>
          <w:rFonts w:ascii="Arial" w:hAnsi="Arial" w:cs="Arial"/>
          <w:sz w:val="28"/>
          <w:szCs w:val="28"/>
        </w:rPr>
      </w:pPr>
      <w:bookmarkStart w:id="4" w:name="_Toc401126242"/>
      <w:r w:rsidRPr="00F6641E">
        <w:rPr>
          <w:rFonts w:ascii="Arial" w:hAnsi="Arial" w:cs="Arial"/>
          <w:sz w:val="28"/>
          <w:szCs w:val="28"/>
        </w:rPr>
        <w:t>POŽADAVKY NA JEDNOTNÝ ZPŮSOB ZPRACOVÁNÍ NABÍDKOVÉ CENY, POŽADAVKY NA ZPRACOVÁNÍ A PODÁNÍ NABÍDKY</w:t>
      </w:r>
    </w:p>
    <w:p w14:paraId="26151FD1" w14:textId="05F7426E" w:rsidR="0046683F" w:rsidRPr="00F6641E" w:rsidRDefault="00BE55D6" w:rsidP="008A3F1E">
      <w:pPr>
        <w:keepNext/>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lastRenderedPageBreak/>
        <w:t>POŽADAVKY NA ZPRACOVÁNÍ JEDNOTNÝCH NABÍDKOVÝCH CEN</w:t>
      </w:r>
    </w:p>
    <w:p w14:paraId="27668E82" w14:textId="58017461" w:rsidR="0046683F" w:rsidRPr="00F6641E" w:rsidRDefault="00A31B43" w:rsidP="00BC4C73">
      <w:pPr>
        <w:spacing w:before="120" w:after="120"/>
        <w:jc w:val="both"/>
      </w:pPr>
      <w:r w:rsidRPr="00F6641E">
        <w:t>Nabídková cena musí obsahovat zisk a veškeré náklady k realizaci předmětu veřejné zakázky včetně nákladů souvisejících (např. daně, pojištění, veškeré dopravní náklady, zvýšené náklady vyplývající z obchodních podmínek apod.).</w:t>
      </w:r>
    </w:p>
    <w:p w14:paraId="2475D138" w14:textId="6C289BA4" w:rsidR="0046683F" w:rsidRPr="00F6641E" w:rsidRDefault="008D5A4D" w:rsidP="002D415A">
      <w:pPr>
        <w:keepNext/>
        <w:keepLines/>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t>STANOVENÍ NABÍDKOVÉ CENY</w:t>
      </w:r>
    </w:p>
    <w:bookmarkEnd w:id="4"/>
    <w:p w14:paraId="708F7D13" w14:textId="77777777" w:rsidR="008D5A4D" w:rsidRPr="00F6641E" w:rsidRDefault="008D5A4D" w:rsidP="00E33765">
      <w:pPr>
        <w:spacing w:after="120"/>
        <w:jc w:val="both"/>
      </w:pPr>
      <w:r w:rsidRPr="00F6641E">
        <w:t>Nabídková cena pro rozsah předmětu plnění veřejné zakázky bude stanovena jako nejvýše přípustná a uvedena v české měně (v korunách českých) v členění na:</w:t>
      </w:r>
    </w:p>
    <w:p w14:paraId="4BBE421B" w14:textId="77777777" w:rsidR="008D5A4D" w:rsidRPr="00F6641E" w:rsidRDefault="008D5A4D" w:rsidP="00E33765">
      <w:pPr>
        <w:spacing w:after="120"/>
        <w:ind w:left="567" w:hanging="283"/>
        <w:jc w:val="both"/>
      </w:pPr>
      <w:r w:rsidRPr="00F6641E">
        <w:t>• nabídkovou cenu v Kč bez DPH,</w:t>
      </w:r>
    </w:p>
    <w:p w14:paraId="5CFAD78E" w14:textId="77777777" w:rsidR="008D5A4D" w:rsidRPr="00F6641E" w:rsidRDefault="008D5A4D" w:rsidP="00E33765">
      <w:pPr>
        <w:spacing w:after="120"/>
        <w:ind w:left="567" w:hanging="283"/>
        <w:jc w:val="both"/>
      </w:pPr>
      <w:r w:rsidRPr="00F6641E">
        <w:t>• sazbu (v %) a výši DPH v Kč a,</w:t>
      </w:r>
    </w:p>
    <w:p w14:paraId="1E2C42F2" w14:textId="77777777" w:rsidR="008D5A4D" w:rsidRPr="00F6641E" w:rsidRDefault="008D5A4D" w:rsidP="00E33765">
      <w:pPr>
        <w:spacing w:after="120"/>
        <w:ind w:left="567" w:hanging="283"/>
        <w:jc w:val="both"/>
      </w:pPr>
      <w:r w:rsidRPr="00F6641E">
        <w:t>• nabídkovou cenu v Kč včetně DPH.</w:t>
      </w:r>
    </w:p>
    <w:p w14:paraId="23110805" w14:textId="77777777" w:rsidR="008D5A4D" w:rsidRPr="00F6641E" w:rsidRDefault="008D5A4D" w:rsidP="00E33765">
      <w:pPr>
        <w:spacing w:after="120"/>
        <w:jc w:val="both"/>
      </w:pPr>
      <w:r w:rsidRPr="00F6641E">
        <w:t>Za správnost stanovené sazby DPH nese odpovědnost dodavatel.</w:t>
      </w:r>
    </w:p>
    <w:p w14:paraId="6B544EDD" w14:textId="5F6D73F1" w:rsidR="00445E25" w:rsidRPr="00F6641E" w:rsidRDefault="008D5A4D" w:rsidP="008D5A4D">
      <w:pPr>
        <w:spacing w:line="276" w:lineRule="auto"/>
        <w:jc w:val="both"/>
      </w:pPr>
      <w:r w:rsidRPr="00F6641E">
        <w:t>Dodavatel uvede nabídkovou cenu do odst. 6.3. návrhu smlouvy.</w:t>
      </w:r>
    </w:p>
    <w:p w14:paraId="6F8FBEAD" w14:textId="0366027C" w:rsidR="00A20403" w:rsidRPr="00F6641E" w:rsidRDefault="00A20403" w:rsidP="00A20403">
      <w:pPr>
        <w:keepNext/>
        <w:keepLines/>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t>PODMÍNKY ZMĚNY NABÍDKOVÉ CENY</w:t>
      </w:r>
    </w:p>
    <w:p w14:paraId="7892DFCA" w14:textId="77777777" w:rsidR="00A20403" w:rsidRPr="00F6641E" w:rsidRDefault="00A20403" w:rsidP="00A20403">
      <w:pPr>
        <w:jc w:val="both"/>
      </w:pPr>
      <w:r w:rsidRPr="00F6641E">
        <w:t>Změna nabídkové ceny je možná pouze v případě, že v průběhu realizace předmětu plnění veřejné zakázky dojde ke změnám sazeb DPH. V tomto případě bude celková nabídková cena upravena podle výše sazeb DPH platných v době vzniku zdanitelného plnění.</w:t>
      </w:r>
    </w:p>
    <w:p w14:paraId="35A04CC8" w14:textId="473C82D5" w:rsidR="00A20403" w:rsidRPr="00F6641E" w:rsidRDefault="00A20403" w:rsidP="00A20403">
      <w:pPr>
        <w:keepNext/>
        <w:keepLines/>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t>DODATEČNÉ SLUŽBY</w:t>
      </w:r>
    </w:p>
    <w:p w14:paraId="61AE6CFF" w14:textId="77777777" w:rsidR="00A20403" w:rsidRPr="00F6641E" w:rsidRDefault="00A20403" w:rsidP="00A20403">
      <w:pPr>
        <w:spacing w:after="120"/>
        <w:jc w:val="both"/>
      </w:pPr>
      <w:r w:rsidRPr="00F6641E">
        <w:t>Zadavatel si vyhrazuje právo kdykoliv v průběhu plnění předmětu služby, a to bez ohledu na jakékoliv důvody, snížit nebo zvýšit druh a rozsah jednotlivých služeb s tím, že jejich zadání bude řešeno v souladu se zákonem.</w:t>
      </w:r>
    </w:p>
    <w:p w14:paraId="474249E0" w14:textId="7B985264" w:rsidR="00E33765" w:rsidRPr="00F6641E" w:rsidRDefault="00A20403" w:rsidP="00A20403">
      <w:pPr>
        <w:spacing w:after="120"/>
        <w:jc w:val="both"/>
      </w:pPr>
      <w:r w:rsidRPr="00F6641E">
        <w:t>Zadavatel uhradí pouze takové poskytnuté plnění, které odebere, s tím, že v souvislosti s touto skutečností nebudou ze strany vybraných dodavatelů uplatňovány žádné sankce či náhrada škody.</w:t>
      </w:r>
    </w:p>
    <w:p w14:paraId="58C5A08F" w14:textId="79D4818B" w:rsidR="009A5168" w:rsidRPr="00F6641E" w:rsidRDefault="009A5168" w:rsidP="009C77E3">
      <w:pPr>
        <w:keepNext/>
        <w:keepLines/>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t>POŽADAVKY NA ZPRACOVÁNÍ A PODÁNÍ NABÍDKY</w:t>
      </w:r>
    </w:p>
    <w:p w14:paraId="30AD8084" w14:textId="77777777" w:rsidR="009A5168" w:rsidRPr="00F6641E" w:rsidRDefault="009A5168" w:rsidP="009C77E3">
      <w:pPr>
        <w:spacing w:after="120"/>
        <w:jc w:val="both"/>
      </w:pPr>
      <w:r w:rsidRPr="00F6641E">
        <w:t>Nabídka bude zpracována v českém jazyce, případně ve slovenském jazyce. Bude-li součástí nabídky doklad v jiném než českém jazyce, je dodavatel povinen předložit též překlad takového dokumentu do českého jazyka. Doklady ve slovenském jazyce se předkládají bez překladu.</w:t>
      </w:r>
    </w:p>
    <w:p w14:paraId="0B281761" w14:textId="77777777" w:rsidR="009A5168" w:rsidRPr="00F6641E" w:rsidRDefault="009A5168" w:rsidP="009C77E3">
      <w:pPr>
        <w:spacing w:after="120"/>
        <w:jc w:val="both"/>
      </w:pPr>
      <w:r w:rsidRPr="00F6641E">
        <w:t>Nabídku dodavatele bude povinně tvořit:</w:t>
      </w:r>
    </w:p>
    <w:p w14:paraId="1C15AC66" w14:textId="39322BE7" w:rsidR="009A5168" w:rsidRPr="00F6641E" w:rsidRDefault="009A5168" w:rsidP="009C77E3">
      <w:pPr>
        <w:spacing w:after="120"/>
        <w:ind w:left="567" w:hanging="283"/>
        <w:jc w:val="both"/>
      </w:pPr>
      <w:r w:rsidRPr="00F6641E">
        <w:t>-</w:t>
      </w:r>
      <w:r w:rsidR="009C77E3" w:rsidRPr="00F6641E">
        <w:tab/>
      </w:r>
      <w:r w:rsidRPr="00F6641E">
        <w:rPr>
          <w:b/>
          <w:bCs/>
        </w:rPr>
        <w:t>Písemné čestné prohlášení</w:t>
      </w:r>
      <w:r w:rsidRPr="00F6641E">
        <w:t xml:space="preserve"> o tom, že se nezměnily údaje rozhodné pro posouzení kvalifikace předložené v žádosti o účast (dodavatele mohou využít vzor čestného prohlášená uvedený v Příloze č. 1 této výzvy).</w:t>
      </w:r>
    </w:p>
    <w:p w14:paraId="06837576" w14:textId="0CDEE88B" w:rsidR="009A5168" w:rsidRPr="00F6641E" w:rsidRDefault="009A5168" w:rsidP="009C77E3">
      <w:pPr>
        <w:spacing w:after="120"/>
        <w:ind w:left="567" w:hanging="283"/>
        <w:jc w:val="both"/>
      </w:pPr>
      <w:r w:rsidRPr="00F6641E">
        <w:t>-</w:t>
      </w:r>
      <w:r w:rsidR="009C77E3" w:rsidRPr="00F6641E">
        <w:tab/>
      </w:r>
      <w:r w:rsidRPr="00F6641E">
        <w:rPr>
          <w:b/>
          <w:bCs/>
        </w:rPr>
        <w:t>Vyplněný návrh smlouvy</w:t>
      </w:r>
      <w:r w:rsidRPr="00F6641E">
        <w:t xml:space="preserve"> uvedený v Příloze č. 2 této výzvy.</w:t>
      </w:r>
    </w:p>
    <w:p w14:paraId="7C3DF061" w14:textId="77777777" w:rsidR="009A5168" w:rsidRPr="00F6641E" w:rsidRDefault="009A5168" w:rsidP="009C77E3">
      <w:pPr>
        <w:spacing w:after="120"/>
        <w:ind w:left="567"/>
        <w:jc w:val="both"/>
      </w:pPr>
      <w:r w:rsidRPr="00F6641E">
        <w:t>Zadavatel v rámci této výzvy předkládá závazný návrh smlouvy, dodavatelé jsou povinni předložit podepsaný návrh smlouvy jako nedílnou součást nabídky. Dodavatelé doplní tento vzor o údaje nezbytné pro vznik smlouvy a dále doplní i další údaje požadované zadavatelem. Dodavatelé nejsou oprávněni činit změny nad rámec výše uvedeného, případnou úpravu jiných než shora uvedených částí textu závazného vzoru návrhu smlouvy považuje zadavatel za nedodržení podmínek stanovených touto výzvou, jež může vést k vyloučení dodavatele z výběrového řízení.</w:t>
      </w:r>
    </w:p>
    <w:p w14:paraId="6F3BA223" w14:textId="51B20F66" w:rsidR="009A5168" w:rsidRPr="00F6641E" w:rsidRDefault="009A5168" w:rsidP="009C77E3">
      <w:pPr>
        <w:spacing w:after="120"/>
        <w:jc w:val="both"/>
      </w:pPr>
      <w:r w:rsidRPr="00F6641E">
        <w:t>Nabídka dodavatele může být, při podání prostřednictvím elektronického nástroje, opatřena uznávaným elektronickým podpisem dodavatele. Zadavatel uvádí, že k podaní nabídky ale není elektronický podpis vyžadován. Dodavatel svůj projev vůle podat nabídku a akceptaci zadávacích podmínek včetně podmínek smluvních vyjadřuje podáním nabídky v</w:t>
      </w:r>
      <w:r w:rsidR="00F34684" w:rsidRPr="00F6641E">
        <w:t> </w:t>
      </w:r>
      <w:r w:rsidRPr="00F6641E">
        <w:t>certifikovaném elektronickém nástroji E-ZAK. Úkon učiněný prostřednictvím elektronického nástroje nebo datové schránky se považuje za podepsaný.</w:t>
      </w:r>
    </w:p>
    <w:p w14:paraId="5DC7FDF1" w14:textId="70202DB4" w:rsidR="009A5168" w:rsidRPr="00F6641E" w:rsidRDefault="009A5168" w:rsidP="009C77E3">
      <w:pPr>
        <w:keepNext/>
        <w:keepLines/>
        <w:numPr>
          <w:ilvl w:val="1"/>
          <w:numId w:val="3"/>
        </w:numPr>
        <w:spacing w:before="120" w:after="120"/>
        <w:ind w:left="714" w:hanging="714"/>
        <w:jc w:val="both"/>
        <w:outlineLvl w:val="1"/>
        <w:rPr>
          <w:rFonts w:eastAsiaTheme="majorEastAsia" w:cstheme="majorBidi"/>
          <w:b/>
          <w:sz w:val="24"/>
          <w:szCs w:val="26"/>
        </w:rPr>
      </w:pPr>
      <w:r w:rsidRPr="00F6641E">
        <w:rPr>
          <w:rFonts w:eastAsiaTheme="majorEastAsia" w:cstheme="majorBidi"/>
          <w:b/>
          <w:sz w:val="24"/>
          <w:szCs w:val="26"/>
        </w:rPr>
        <w:lastRenderedPageBreak/>
        <w:t>LHŮTA A MÍSTO PODÁNÍ NABÍDEK A JINÉ UPŘESŇUJÍCÍ ÚDAJE</w:t>
      </w:r>
    </w:p>
    <w:p w14:paraId="5C65EFAC" w14:textId="77777777" w:rsidR="009A5168" w:rsidRPr="00F6641E" w:rsidRDefault="009A5168" w:rsidP="00F34684">
      <w:pPr>
        <w:spacing w:after="120"/>
        <w:jc w:val="both"/>
      </w:pPr>
      <w:r w:rsidRPr="00F6641E">
        <w:t>Nabídky dodavatel doručí do konce níže uvedené lhůty pro podání nabídek, a to prostřednictvím elektronického nástroje E-ZAK na níže uvedenou elektronickou adresu.</w:t>
      </w:r>
    </w:p>
    <w:p w14:paraId="4DA8939E" w14:textId="5193CFFB" w:rsidR="009A5168" w:rsidRPr="00F6641E" w:rsidRDefault="009A5168" w:rsidP="00F34684">
      <w:pPr>
        <w:spacing w:after="120"/>
        <w:jc w:val="both"/>
        <w:rPr>
          <w:b/>
          <w:bCs/>
        </w:rPr>
      </w:pPr>
      <w:r w:rsidRPr="00F6641E">
        <w:rPr>
          <w:b/>
          <w:bCs/>
        </w:rPr>
        <w:t xml:space="preserve">Lhůta pro podání nabídek: </w:t>
      </w:r>
      <w:r w:rsidR="00F34684" w:rsidRPr="00F6641E">
        <w:rPr>
          <w:b/>
          <w:bCs/>
        </w:rPr>
        <w:tab/>
      </w:r>
      <w:r w:rsidRPr="00F6641E">
        <w:rPr>
          <w:b/>
          <w:bCs/>
        </w:rPr>
        <w:t>Datum</w:t>
      </w:r>
      <w:r w:rsidRPr="008B2E46">
        <w:rPr>
          <w:b/>
          <w:bCs/>
        </w:rPr>
        <w:t xml:space="preserve">: </w:t>
      </w:r>
      <w:r w:rsidR="00E86E9B" w:rsidRPr="008B2E46">
        <w:rPr>
          <w:b/>
          <w:bCs/>
        </w:rPr>
        <w:t>25</w:t>
      </w:r>
      <w:r w:rsidRPr="008B2E46">
        <w:rPr>
          <w:b/>
          <w:bCs/>
        </w:rPr>
        <w:t>.</w:t>
      </w:r>
      <w:r w:rsidR="0084578D" w:rsidRPr="008B2E46">
        <w:rPr>
          <w:b/>
          <w:bCs/>
        </w:rPr>
        <w:t xml:space="preserve"> </w:t>
      </w:r>
      <w:r w:rsidR="00E86E9B" w:rsidRPr="008B2E46">
        <w:rPr>
          <w:b/>
          <w:bCs/>
        </w:rPr>
        <w:t>8</w:t>
      </w:r>
      <w:r w:rsidRPr="008B2E46">
        <w:rPr>
          <w:b/>
          <w:bCs/>
        </w:rPr>
        <w:t>.</w:t>
      </w:r>
      <w:r w:rsidR="008C7729" w:rsidRPr="008B2E46">
        <w:rPr>
          <w:b/>
          <w:bCs/>
        </w:rPr>
        <w:t xml:space="preserve"> </w:t>
      </w:r>
      <w:r w:rsidRPr="008B2E46">
        <w:rPr>
          <w:b/>
          <w:bCs/>
        </w:rPr>
        <w:t>2025</w:t>
      </w:r>
    </w:p>
    <w:p w14:paraId="5733F115" w14:textId="17E52E80" w:rsidR="009A5168" w:rsidRPr="00F6641E" w:rsidRDefault="009A5168" w:rsidP="00F34684">
      <w:pPr>
        <w:spacing w:after="120"/>
        <w:ind w:left="2160" w:firstLine="720"/>
        <w:jc w:val="both"/>
        <w:rPr>
          <w:b/>
          <w:bCs/>
        </w:rPr>
      </w:pPr>
      <w:r w:rsidRPr="00F6641E">
        <w:rPr>
          <w:b/>
          <w:bCs/>
        </w:rPr>
        <w:t xml:space="preserve">Hodina: </w:t>
      </w:r>
      <w:r w:rsidR="00F34684" w:rsidRPr="00F6641E">
        <w:rPr>
          <w:b/>
          <w:bCs/>
        </w:rPr>
        <w:t>8</w:t>
      </w:r>
      <w:r w:rsidRPr="00F6641E">
        <w:rPr>
          <w:b/>
          <w:bCs/>
        </w:rPr>
        <w:t>:00 hod.</w:t>
      </w:r>
    </w:p>
    <w:p w14:paraId="7EB4A6EA" w14:textId="2B8B1E0D" w:rsidR="009A5168" w:rsidRPr="00F6641E" w:rsidRDefault="009A5168" w:rsidP="00F34684">
      <w:pPr>
        <w:spacing w:after="120"/>
        <w:jc w:val="both"/>
      </w:pPr>
      <w:r w:rsidRPr="00F6641E">
        <w:rPr>
          <w:b/>
          <w:bCs/>
        </w:rPr>
        <w:t>Adresa pro podání nabídek:</w:t>
      </w:r>
      <w:r w:rsidR="00943A28" w:rsidRPr="00F6641E">
        <w:t xml:space="preserve"> </w:t>
      </w:r>
      <w:r w:rsidR="008B2E46" w:rsidRPr="008B2E46">
        <w:t>https://zakazky.spucr.cz/vz00051122</w:t>
      </w:r>
    </w:p>
    <w:p w14:paraId="73745B9C" w14:textId="77777777" w:rsidR="009A5168" w:rsidRPr="00F6641E" w:rsidRDefault="009A5168" w:rsidP="00F34684">
      <w:pPr>
        <w:spacing w:after="120"/>
        <w:jc w:val="both"/>
        <w:rPr>
          <w:b/>
          <w:bCs/>
        </w:rPr>
      </w:pPr>
      <w:r w:rsidRPr="00F6641E">
        <w:rPr>
          <w:b/>
          <w:bCs/>
        </w:rPr>
        <w:t>Zadavatel nepřipouští podání nabídky v listinné podobě ani v jiné elektronické formě mimo elektronický nástroj E-ZAK.</w:t>
      </w:r>
    </w:p>
    <w:p w14:paraId="51EB7292" w14:textId="6AB8103E" w:rsidR="009A5168" w:rsidRPr="00F6641E" w:rsidRDefault="009A5168" w:rsidP="00F34684">
      <w:pPr>
        <w:spacing w:after="120"/>
        <w:jc w:val="both"/>
      </w:pPr>
      <w:r w:rsidRPr="00F6641E">
        <w:t>Způsob správného podání nabídky v elektronické podobě je uveden v uživatelské příručce elektronického nástroje E-ZAK pro dodavatele, která je k dispozici zde: https://zakazky.spucr.cz/manual.html. Další informace k podání nabídky jsou uvedeny v</w:t>
      </w:r>
      <w:r w:rsidR="00943A28" w:rsidRPr="00F6641E">
        <w:t> </w:t>
      </w:r>
      <w:r w:rsidRPr="00F6641E">
        <w:t>zadávací dokumentaci.</w:t>
      </w:r>
    </w:p>
    <w:p w14:paraId="50973177" w14:textId="77777777" w:rsidR="009A5168" w:rsidRPr="00F6641E" w:rsidRDefault="009A5168" w:rsidP="00F34684">
      <w:pPr>
        <w:spacing w:after="120"/>
        <w:jc w:val="both"/>
      </w:pPr>
      <w:r w:rsidRPr="00F6641E">
        <w:t>Velikost jednotlivého souboru vkládaného do elektronického nástroje nesmí přesáhnout velikost 50 MB (je ale možné vložit více souborů).</w:t>
      </w:r>
    </w:p>
    <w:p w14:paraId="535187AF" w14:textId="77777777" w:rsidR="009A5168" w:rsidRPr="00F6641E" w:rsidRDefault="009A5168" w:rsidP="00F34684">
      <w:pPr>
        <w:spacing w:after="120"/>
        <w:jc w:val="both"/>
      </w:pPr>
      <w:r w:rsidRPr="00F6641E">
        <w:t>Pro vyloučení všech pochybností Zadavatel uvádí, že za doručení prostřednictvím elektronického nástroje E-ZAK je považován okamžik odeslání datové zprávy na elektronickou adresu adresáta či adresátů datové zprávy v elektronickém nástroji E-ZAK.</w:t>
      </w:r>
    </w:p>
    <w:p w14:paraId="383765FD" w14:textId="72BA0066" w:rsidR="00E33765" w:rsidRPr="00F6641E" w:rsidRDefault="009A5168" w:rsidP="00F34684">
      <w:pPr>
        <w:spacing w:after="120"/>
        <w:jc w:val="both"/>
      </w:pPr>
      <w:r w:rsidRPr="00F6641E">
        <w:t xml:space="preserve">Dodavatel může v rámci této veřejné zakázky podat pouze jednu nabídku elektronickými prostředky prostřednictvím elektronického nástroje E-ZAK, který je profilem zadavatele, </w:t>
      </w:r>
      <w:r w:rsidR="006207DC" w:rsidRPr="00F6641E">
        <w:br/>
      </w:r>
      <w:r w:rsidRPr="00F6641E">
        <w:t>a to v českém jazyce nebo slovenském jazyce.</w:t>
      </w:r>
    </w:p>
    <w:p w14:paraId="0D0CA578" w14:textId="77777777" w:rsidR="006207DC" w:rsidRPr="00F6641E" w:rsidRDefault="006207DC" w:rsidP="006207DC">
      <w:pPr>
        <w:spacing w:line="276" w:lineRule="auto"/>
        <w:jc w:val="both"/>
      </w:pPr>
      <w:r w:rsidRPr="00F6641E">
        <w:t>Bližší informace k elektronickému nástroji jsou uvedeny v zadávací dokumentaci k zavedení DNS, která je dostupná na internetové adrese uvedené v ČI. 1.3, této výzvy.</w:t>
      </w:r>
    </w:p>
    <w:p w14:paraId="6B0E8ABD" w14:textId="393498F4" w:rsidR="00E33765" w:rsidRPr="00F6641E" w:rsidRDefault="006207DC" w:rsidP="006207DC">
      <w:pPr>
        <w:spacing w:line="276" w:lineRule="auto"/>
        <w:jc w:val="both"/>
      </w:pPr>
      <w:r w:rsidRPr="00F6641E">
        <w:t>Každý dodavatel je povinen podat nabídku na celé plnění veřejné zakázky; nepřipouští se podání nabídky pouze na částečné plnění.</w:t>
      </w:r>
    </w:p>
    <w:p w14:paraId="6BDA688F" w14:textId="43369B4F" w:rsidR="0046683F" w:rsidRPr="00F6641E" w:rsidRDefault="0046683F" w:rsidP="00CF5623">
      <w:pPr>
        <w:pStyle w:val="Nadpis1"/>
        <w:spacing w:after="120" w:line="240" w:lineRule="auto"/>
        <w:ind w:left="357" w:hanging="357"/>
        <w:jc w:val="both"/>
        <w:rPr>
          <w:rFonts w:ascii="Arial" w:hAnsi="Arial" w:cs="Arial"/>
          <w:sz w:val="28"/>
          <w:szCs w:val="28"/>
        </w:rPr>
      </w:pPr>
      <w:bookmarkStart w:id="5" w:name="_Toc476216113"/>
      <w:bookmarkStart w:id="6" w:name="_Toc401126244"/>
      <w:r w:rsidRPr="00F6641E">
        <w:rPr>
          <w:rFonts w:ascii="Arial" w:hAnsi="Arial" w:cs="Arial"/>
          <w:sz w:val="28"/>
          <w:szCs w:val="28"/>
        </w:rPr>
        <w:t>KRITÉRIA PRO HODNOCENÍ NABÍDEK</w:t>
      </w:r>
      <w:bookmarkEnd w:id="5"/>
    </w:p>
    <w:tbl>
      <w:tblPr>
        <w:tblStyle w:val="Mkatabulky"/>
        <w:tblW w:w="0" w:type="auto"/>
        <w:tblCellMar>
          <w:top w:w="28" w:type="dxa"/>
          <w:left w:w="85" w:type="dxa"/>
          <w:bottom w:w="28" w:type="dxa"/>
        </w:tblCellMar>
        <w:tblLook w:val="04A0" w:firstRow="1" w:lastRow="0" w:firstColumn="1" w:lastColumn="0" w:noHBand="0" w:noVBand="1"/>
      </w:tblPr>
      <w:tblGrid>
        <w:gridCol w:w="6799"/>
        <w:gridCol w:w="2255"/>
      </w:tblGrid>
      <w:tr w:rsidR="00CE7ECB" w:rsidRPr="00F6641E" w14:paraId="234DBFC7" w14:textId="77777777" w:rsidTr="0042248F">
        <w:tc>
          <w:tcPr>
            <w:tcW w:w="6799" w:type="dxa"/>
            <w:vAlign w:val="center"/>
          </w:tcPr>
          <w:p w14:paraId="6AF46544" w14:textId="5EF46D35" w:rsidR="00CE7ECB" w:rsidRPr="00F6641E" w:rsidRDefault="00CE7ECB" w:rsidP="00CE7ECB">
            <w:pPr>
              <w:spacing w:before="60" w:after="60"/>
              <w:jc w:val="both"/>
              <w:rPr>
                <w:b/>
                <w:bCs/>
              </w:rPr>
            </w:pPr>
            <w:r w:rsidRPr="00F6641E">
              <w:rPr>
                <w:b/>
                <w:bCs/>
              </w:rPr>
              <w:t>Název hodnotícího kritéria</w:t>
            </w:r>
          </w:p>
        </w:tc>
        <w:tc>
          <w:tcPr>
            <w:tcW w:w="2255" w:type="dxa"/>
            <w:vAlign w:val="center"/>
          </w:tcPr>
          <w:p w14:paraId="3CDDC7FB" w14:textId="14C3BC46" w:rsidR="00CE7ECB" w:rsidRPr="00F6641E" w:rsidRDefault="00CE7ECB" w:rsidP="004E73E6">
            <w:pPr>
              <w:spacing w:before="60" w:after="60"/>
              <w:jc w:val="center"/>
              <w:rPr>
                <w:b/>
                <w:bCs/>
              </w:rPr>
            </w:pPr>
            <w:r w:rsidRPr="00F6641E">
              <w:rPr>
                <w:b/>
                <w:bCs/>
              </w:rPr>
              <w:t>Váha</w:t>
            </w:r>
          </w:p>
        </w:tc>
      </w:tr>
      <w:tr w:rsidR="00CE7ECB" w:rsidRPr="00C468D4" w14:paraId="16474FB6" w14:textId="77777777" w:rsidTr="0042248F">
        <w:tc>
          <w:tcPr>
            <w:tcW w:w="6799" w:type="dxa"/>
            <w:vAlign w:val="center"/>
          </w:tcPr>
          <w:p w14:paraId="78C2F5BA" w14:textId="1FA264B8" w:rsidR="00CE7ECB" w:rsidRPr="00C468D4" w:rsidRDefault="00CE7ECB" w:rsidP="00435A4A">
            <w:pPr>
              <w:spacing w:before="60" w:after="60"/>
              <w:jc w:val="both"/>
            </w:pPr>
            <w:r w:rsidRPr="00C468D4">
              <w:t>Výše celkové nabídkové ceny v Kč bez DPH</w:t>
            </w:r>
          </w:p>
        </w:tc>
        <w:tc>
          <w:tcPr>
            <w:tcW w:w="2255" w:type="dxa"/>
            <w:vAlign w:val="center"/>
          </w:tcPr>
          <w:p w14:paraId="6A59E8DD" w14:textId="6ACAA882" w:rsidR="00CE7ECB" w:rsidRPr="00C468D4" w:rsidRDefault="00C468D4" w:rsidP="004E73E6">
            <w:pPr>
              <w:spacing w:before="60" w:after="60"/>
              <w:jc w:val="center"/>
            </w:pPr>
            <w:r w:rsidRPr="00C468D4">
              <w:t>7</w:t>
            </w:r>
            <w:r w:rsidR="00CE7ECB" w:rsidRPr="00C468D4">
              <w:t>0 %</w:t>
            </w:r>
          </w:p>
        </w:tc>
      </w:tr>
      <w:tr w:rsidR="00CE7ECB" w:rsidRPr="00F6641E" w14:paraId="780BA666" w14:textId="77777777" w:rsidTr="0042248F">
        <w:tc>
          <w:tcPr>
            <w:tcW w:w="6799" w:type="dxa"/>
            <w:vAlign w:val="center"/>
          </w:tcPr>
          <w:p w14:paraId="48C9C266" w14:textId="6646A7BF" w:rsidR="00CE7ECB" w:rsidRPr="00C468D4" w:rsidRDefault="00CE7ECB" w:rsidP="00435A4A">
            <w:pPr>
              <w:spacing w:before="60" w:after="60"/>
              <w:jc w:val="both"/>
            </w:pPr>
            <w:r w:rsidRPr="00C468D4">
              <w:t>Počet dnů potřebných k odevzdání díla od podpisu smlouvy</w:t>
            </w:r>
          </w:p>
        </w:tc>
        <w:tc>
          <w:tcPr>
            <w:tcW w:w="2255" w:type="dxa"/>
            <w:vAlign w:val="center"/>
          </w:tcPr>
          <w:p w14:paraId="7F338F41" w14:textId="16383162" w:rsidR="00CE7ECB" w:rsidRPr="00F6641E" w:rsidRDefault="00C468D4" w:rsidP="004E73E6">
            <w:pPr>
              <w:spacing w:before="60" w:after="60"/>
              <w:jc w:val="center"/>
            </w:pPr>
            <w:r w:rsidRPr="00C468D4">
              <w:t>3</w:t>
            </w:r>
            <w:r w:rsidR="00CE7ECB" w:rsidRPr="00C468D4">
              <w:t>0 %</w:t>
            </w:r>
          </w:p>
        </w:tc>
      </w:tr>
    </w:tbl>
    <w:p w14:paraId="46930092" w14:textId="77777777" w:rsidR="0046683F" w:rsidRPr="00F6641E" w:rsidRDefault="0046683F" w:rsidP="00AF3ACF">
      <w:pPr>
        <w:pStyle w:val="Nadpis2"/>
        <w:spacing w:line="240" w:lineRule="auto"/>
        <w:ind w:left="709" w:hanging="709"/>
      </w:pPr>
      <w:r w:rsidRPr="00F6641E">
        <w:t>Způsob hodnocení</w:t>
      </w:r>
    </w:p>
    <w:p w14:paraId="722F66E5" w14:textId="77777777" w:rsidR="00F206D7" w:rsidRPr="00F6641E" w:rsidRDefault="00F206D7" w:rsidP="00F206D7">
      <w:pPr>
        <w:spacing w:after="120"/>
        <w:jc w:val="both"/>
      </w:pPr>
      <w:bookmarkStart w:id="7" w:name="_Toc476216114"/>
      <w:bookmarkStart w:id="8" w:name="_Toc401126246"/>
      <w:bookmarkStart w:id="9" w:name="_Toc476216116"/>
      <w:bookmarkEnd w:id="6"/>
      <w:r w:rsidRPr="00F6641E">
        <w:t xml:space="preserve">V rámci dílčího kritéria </w:t>
      </w:r>
      <w:r w:rsidRPr="00F6641E">
        <w:rPr>
          <w:b/>
          <w:bCs/>
        </w:rPr>
        <w:t>„Výše celkové nabídkové ceny v Kč bez DPH“</w:t>
      </w:r>
      <w:r w:rsidRPr="00F6641E">
        <w:t xml:space="preserve"> bude hodnocená celková nabídková cena za nabízený předmět plnění, kterou dodavatel uvede do článku 6.3. návrhu smlouvy.</w:t>
      </w:r>
    </w:p>
    <w:p w14:paraId="1F8B458C" w14:textId="77777777" w:rsidR="00F206D7" w:rsidRPr="00F6641E" w:rsidRDefault="00F206D7" w:rsidP="00F206D7">
      <w:pPr>
        <w:spacing w:after="120"/>
        <w:jc w:val="both"/>
      </w:pPr>
      <w:r w:rsidRPr="00F6641E">
        <w:t>Nabídky budou seřazeny od nejvýhodnější po nejméně výhodnou, přičemž nejvýhodnější nabídkou bude nabídka s nejnižší nabídkovou cenou v Kč bez DPH. Nejvýhodnější nabídce bude přiděleno sto (100) bodů. Ostatní hodnocené nabídky získají bodovou hodnotu, která vznikne násobkem 100 a poměru hodnoty nejvýhodnější nabídky k hodnotě hodnocené nabídky. Následně budou body všech nabídek násobeny vahou příslušného dílčího kritéria.</w:t>
      </w:r>
    </w:p>
    <w:p w14:paraId="3CF7C422" w14:textId="060552A5" w:rsidR="00F206D7" w:rsidRPr="00F6641E" w:rsidRDefault="00F206D7" w:rsidP="00F206D7">
      <w:pPr>
        <w:spacing w:after="120"/>
        <w:jc w:val="both"/>
      </w:pPr>
      <w:r w:rsidRPr="00F6641E">
        <w:t xml:space="preserve">V rámci dílčího kritéria </w:t>
      </w:r>
      <w:r w:rsidRPr="00F6641E">
        <w:rPr>
          <w:b/>
          <w:bCs/>
        </w:rPr>
        <w:t>„Počet dnů potřebných k odevzdání díla od podpisu smlouvy“</w:t>
      </w:r>
      <w:r w:rsidRPr="00F6641E">
        <w:t xml:space="preserve"> bude hodnocená doba pro zpracování požadovaných služeb dle odst. 1.1 návrhu smlouvy, </w:t>
      </w:r>
      <w:r w:rsidRPr="00C468D4">
        <w:t xml:space="preserve">kterou dodavatel vyplní do odst. 4.2. návrhu smlouvy. </w:t>
      </w:r>
      <w:r w:rsidRPr="00C468D4">
        <w:rPr>
          <w:b/>
          <w:bCs/>
        </w:rPr>
        <w:t xml:space="preserve">Minimální hodnota tohoto kritéria je </w:t>
      </w:r>
      <w:r w:rsidR="00F50850" w:rsidRPr="00C468D4">
        <w:rPr>
          <w:b/>
          <w:bCs/>
        </w:rPr>
        <w:t>8</w:t>
      </w:r>
      <w:r w:rsidR="00D64170" w:rsidRPr="00C468D4">
        <w:rPr>
          <w:b/>
          <w:bCs/>
        </w:rPr>
        <w:t>0</w:t>
      </w:r>
      <w:r w:rsidRPr="00C468D4">
        <w:rPr>
          <w:b/>
          <w:bCs/>
        </w:rPr>
        <w:t xml:space="preserve"> dní, maximální hodnota tohoto kritéria je </w:t>
      </w:r>
      <w:r w:rsidR="00F50850" w:rsidRPr="00C468D4">
        <w:rPr>
          <w:b/>
          <w:bCs/>
        </w:rPr>
        <w:t>9</w:t>
      </w:r>
      <w:r w:rsidR="00C468D4" w:rsidRPr="00C468D4">
        <w:rPr>
          <w:b/>
          <w:bCs/>
        </w:rPr>
        <w:t>0</w:t>
      </w:r>
      <w:r w:rsidRPr="00C468D4">
        <w:rPr>
          <w:b/>
          <w:bCs/>
        </w:rPr>
        <w:t xml:space="preserve"> dní.</w:t>
      </w:r>
      <w:r w:rsidRPr="00C468D4">
        <w:t xml:space="preserve"> V případě nedodržení minimální nebo</w:t>
      </w:r>
      <w:r w:rsidRPr="00F6641E">
        <w:t xml:space="preserve"> maximální hodnoty tohoto kritéria nebude nabídka hodnocena.</w:t>
      </w:r>
    </w:p>
    <w:p w14:paraId="082C0FA4" w14:textId="77777777" w:rsidR="00F206D7" w:rsidRPr="00F6641E" w:rsidRDefault="00F206D7" w:rsidP="00F206D7">
      <w:pPr>
        <w:spacing w:after="120"/>
        <w:jc w:val="both"/>
      </w:pPr>
      <w:r w:rsidRPr="00F6641E">
        <w:t xml:space="preserve">Nabídky budou seřazeny od nejkratší po nejdelší dobu dodání, přičemž nabídce s nejkratší dobou bude přiděleno sto (100) bodů. Ostatní hodnocené nabídky získají bodovou hodnotu, </w:t>
      </w:r>
      <w:r w:rsidRPr="00F6641E">
        <w:lastRenderedPageBreak/>
        <w:t>která vznikne násobkem 100 a poměru hodnoty nejvýhodnější nabídky k hodnotě hodnocené nabídky. Následně budou body všech nabídek násobeny vahou příslušného dílčího kritéria.</w:t>
      </w:r>
    </w:p>
    <w:p w14:paraId="1D60BE67" w14:textId="775AC63C" w:rsidR="00F206D7" w:rsidRPr="00F6641E" w:rsidRDefault="00F206D7" w:rsidP="000028BB">
      <w:pPr>
        <w:pStyle w:val="Nadpis2"/>
        <w:spacing w:line="240" w:lineRule="auto"/>
        <w:ind w:left="709" w:hanging="709"/>
      </w:pPr>
      <w:r w:rsidRPr="00F6641E">
        <w:t>Sestavení celkového pořadí:</w:t>
      </w:r>
    </w:p>
    <w:p w14:paraId="23753542" w14:textId="77777777" w:rsidR="00F206D7" w:rsidRPr="00F6641E" w:rsidRDefault="00F206D7" w:rsidP="00F206D7">
      <w:pPr>
        <w:spacing w:after="120"/>
        <w:jc w:val="both"/>
      </w:pPr>
      <w:r w:rsidRPr="00F6641E">
        <w:t>Součet redukovaných bodových hodnot ze všech kritérií hodnocení určí výslednou bodovou hodnotu nabídky.</w:t>
      </w:r>
    </w:p>
    <w:p w14:paraId="6288F586" w14:textId="77777777" w:rsidR="00F206D7" w:rsidRPr="00F6641E" w:rsidRDefault="00F206D7" w:rsidP="00F206D7">
      <w:pPr>
        <w:spacing w:after="120"/>
        <w:jc w:val="both"/>
      </w:pPr>
      <w:r w:rsidRPr="00F6641E">
        <w:t>Celkové pořadí nabídek je dáno absolutní hodnotou bodového ohodnocení nabídky tak, že nejvhodnější je ta nabídka, která získá nejvyšší celkový počet bodů.</w:t>
      </w:r>
    </w:p>
    <w:p w14:paraId="3B3FF9A2" w14:textId="406B18EF" w:rsidR="00F206D7" w:rsidRPr="00F6641E" w:rsidRDefault="00F206D7" w:rsidP="00614C35">
      <w:pPr>
        <w:pStyle w:val="Nadpis2"/>
        <w:spacing w:line="240" w:lineRule="auto"/>
        <w:ind w:left="709" w:hanging="709"/>
      </w:pPr>
      <w:r w:rsidRPr="00F6641E">
        <w:t>Rovnost bodových hodnot:</w:t>
      </w:r>
    </w:p>
    <w:p w14:paraId="0EB1804B" w14:textId="2058A188" w:rsidR="006F52E2" w:rsidRPr="00F6641E" w:rsidRDefault="00F206D7" w:rsidP="00F206D7">
      <w:pPr>
        <w:spacing w:after="120"/>
        <w:jc w:val="both"/>
      </w:pPr>
      <w:r w:rsidRPr="00F6641E">
        <w:t>V případě rovnosti bodových hodnot dvou či více nabídek rozhoduje o celkovém pořadí nabídek pořadí v kritériu s nejvyšším stupněm významu. Pokud i po tomto hodnocení nebude možné určit vítěznou nabídku, bude tato situace řešena v souladu se zásadami stanovenými v § 6 zákona. Jako vítězný účastník bude vybrán účastník s dřívějším časem podání nabídky.</w:t>
      </w:r>
    </w:p>
    <w:bookmarkEnd w:id="7"/>
    <w:p w14:paraId="23816E25" w14:textId="343CDE3E" w:rsidR="00E4298C" w:rsidRPr="00F6641E" w:rsidRDefault="00DF68BD" w:rsidP="00CF5623">
      <w:pPr>
        <w:pStyle w:val="Nadpis1"/>
        <w:spacing w:after="120" w:line="240" w:lineRule="auto"/>
        <w:ind w:left="357" w:hanging="357"/>
        <w:jc w:val="both"/>
        <w:rPr>
          <w:rFonts w:ascii="Arial" w:hAnsi="Arial" w:cs="Arial"/>
          <w:sz w:val="28"/>
          <w:szCs w:val="28"/>
        </w:rPr>
      </w:pPr>
      <w:r w:rsidRPr="00F6641E">
        <w:rPr>
          <w:rFonts w:ascii="Arial" w:hAnsi="Arial" w:cs="Arial"/>
          <w:sz w:val="28"/>
          <w:szCs w:val="28"/>
        </w:rPr>
        <w:t>DALŠÍ INFORMACE A PODMÍNKY VYHRAZENÉ ZADAVATELEM</w:t>
      </w:r>
    </w:p>
    <w:p w14:paraId="08F23C63" w14:textId="1CA24DDE" w:rsidR="00E4298C" w:rsidRPr="00F6641E" w:rsidRDefault="005D492F" w:rsidP="00AF3ACF">
      <w:pPr>
        <w:pStyle w:val="Nadpis2"/>
        <w:spacing w:line="240" w:lineRule="auto"/>
        <w:ind w:left="709" w:hanging="709"/>
      </w:pPr>
      <w:r w:rsidRPr="00F6641E">
        <w:t>DALŠÍ VYHRAZENÉ PODMÍNKY A UVEDENÁ PRÁVA ZADAVATELE:</w:t>
      </w:r>
    </w:p>
    <w:p w14:paraId="47D38C25" w14:textId="18BDEBBC" w:rsidR="0030086C" w:rsidRPr="00F6641E" w:rsidRDefault="0030086C" w:rsidP="0076003B">
      <w:pPr>
        <w:pStyle w:val="Odstavecseseznamem"/>
        <w:numPr>
          <w:ilvl w:val="0"/>
          <w:numId w:val="31"/>
        </w:numPr>
        <w:spacing w:after="120" w:line="240" w:lineRule="auto"/>
        <w:ind w:left="568" w:hanging="284"/>
        <w:contextualSpacing w:val="0"/>
        <w:rPr>
          <w:sz w:val="22"/>
        </w:rPr>
      </w:pPr>
      <w:r w:rsidRPr="00F6641E">
        <w:rPr>
          <w:sz w:val="22"/>
        </w:rPr>
        <w:t>Zadavatel vylučuje možnost podání variantních nabídek.</w:t>
      </w:r>
    </w:p>
    <w:p w14:paraId="19B447A7" w14:textId="0630953C" w:rsidR="0030086C" w:rsidRPr="00F6641E" w:rsidRDefault="0030086C" w:rsidP="0076003B">
      <w:pPr>
        <w:pStyle w:val="Odstavecseseznamem"/>
        <w:numPr>
          <w:ilvl w:val="0"/>
          <w:numId w:val="31"/>
        </w:numPr>
        <w:spacing w:after="120" w:line="240" w:lineRule="auto"/>
        <w:ind w:left="568" w:hanging="284"/>
        <w:contextualSpacing w:val="0"/>
        <w:rPr>
          <w:sz w:val="22"/>
        </w:rPr>
      </w:pPr>
      <w:r w:rsidRPr="00F6641E">
        <w:rPr>
          <w:sz w:val="22"/>
        </w:rPr>
        <w:t>Zadavatel může pro účely zajištění řádného průběhu řízení k zadání veřejné zakázky v</w:t>
      </w:r>
      <w:r w:rsidR="00185654" w:rsidRPr="00F6641E">
        <w:rPr>
          <w:sz w:val="22"/>
        </w:rPr>
        <w:t> </w:t>
      </w:r>
      <w:r w:rsidRPr="00F6641E">
        <w:rPr>
          <w:sz w:val="22"/>
        </w:rPr>
        <w:t>DNS požadovat, aby dodavatel v přiměřené lhůtě objasnil předložené údaje nebo doklady nebo aby doplnil další nebo chybějící údaje či doklady. Zadavatel může tuto žádost učinit opakovaně a může rovněž stanovenou lhůtu prodloužit nebo prominout její zmeškání.</w:t>
      </w:r>
    </w:p>
    <w:p w14:paraId="342D8DD6" w14:textId="0F8CD74B" w:rsidR="0030086C" w:rsidRPr="00F6641E" w:rsidRDefault="0030086C" w:rsidP="0076003B">
      <w:pPr>
        <w:pStyle w:val="Odstavecseseznamem"/>
        <w:numPr>
          <w:ilvl w:val="0"/>
          <w:numId w:val="31"/>
        </w:numPr>
        <w:spacing w:after="120" w:line="240" w:lineRule="auto"/>
        <w:ind w:left="568" w:hanging="284"/>
        <w:contextualSpacing w:val="0"/>
        <w:rPr>
          <w:sz w:val="22"/>
        </w:rPr>
      </w:pPr>
      <w:r w:rsidRPr="00F6641E">
        <w:rPr>
          <w:sz w:val="22"/>
        </w:rPr>
        <w:t>Zadavatel může vyloučit dodavatele z účasti v řízení k zadání veřejné zakázky v DNS v</w:t>
      </w:r>
      <w:r w:rsidR="00185654" w:rsidRPr="00F6641E">
        <w:rPr>
          <w:sz w:val="22"/>
        </w:rPr>
        <w:t> </w:t>
      </w:r>
      <w:r w:rsidRPr="00F6641E">
        <w:rPr>
          <w:sz w:val="22"/>
        </w:rPr>
        <w:t>případě nesplnění podmínek účasti v řízení k zadání veřejné zakázky v DNS dodavatelem.</w:t>
      </w:r>
    </w:p>
    <w:p w14:paraId="52A71F1C" w14:textId="1C9369CF" w:rsidR="0030086C" w:rsidRPr="00F6641E" w:rsidRDefault="0030086C" w:rsidP="0076003B">
      <w:pPr>
        <w:pStyle w:val="Odstavecseseznamem"/>
        <w:numPr>
          <w:ilvl w:val="0"/>
          <w:numId w:val="31"/>
        </w:numPr>
        <w:spacing w:after="120" w:line="240" w:lineRule="auto"/>
        <w:ind w:left="567" w:hanging="283"/>
        <w:contextualSpacing w:val="0"/>
        <w:rPr>
          <w:sz w:val="22"/>
        </w:rPr>
      </w:pPr>
      <w:r w:rsidRPr="00F6641E">
        <w:rPr>
          <w:sz w:val="22"/>
        </w:rPr>
        <w:t>Zadavatel může dále vyloučit dodavatele z účasti v řízení k zadání veřejné zakázky v</w:t>
      </w:r>
      <w:r w:rsidR="00185654" w:rsidRPr="00F6641E">
        <w:rPr>
          <w:sz w:val="22"/>
        </w:rPr>
        <w:t> </w:t>
      </w:r>
      <w:r w:rsidRPr="00F6641E">
        <w:rPr>
          <w:sz w:val="22"/>
        </w:rPr>
        <w:t>DNS, pokud údaje nebo doklady předložené dodavatelem</w:t>
      </w:r>
    </w:p>
    <w:p w14:paraId="7061633D" w14:textId="1BD84A76" w:rsidR="0030086C" w:rsidRPr="00F6641E" w:rsidRDefault="00122E09" w:rsidP="00122E09">
      <w:pPr>
        <w:spacing w:after="60"/>
        <w:ind w:left="851" w:hanging="284"/>
      </w:pPr>
      <w:r w:rsidRPr="00F6641E">
        <w:rPr>
          <w:lang w:eastAsia="cs-CZ"/>
        </w:rPr>
        <w:t>−</w:t>
      </w:r>
      <w:r w:rsidRPr="00F6641E">
        <w:tab/>
      </w:r>
      <w:r w:rsidR="0030086C" w:rsidRPr="00F6641E">
        <w:t>nesplňují zadávací podmínky nebo je dodavatel v řízení k zadání veřejné zakázky v</w:t>
      </w:r>
      <w:r w:rsidR="00185654" w:rsidRPr="00F6641E">
        <w:t> </w:t>
      </w:r>
      <w:r w:rsidR="0030086C" w:rsidRPr="00F6641E">
        <w:t>DNS ve stanovené lhůtě nedoložil,</w:t>
      </w:r>
    </w:p>
    <w:p w14:paraId="632914D8" w14:textId="02854294" w:rsidR="0030086C" w:rsidRPr="00F6641E" w:rsidRDefault="00122E09" w:rsidP="00122E09">
      <w:pPr>
        <w:spacing w:after="60"/>
        <w:ind w:left="851" w:hanging="284"/>
      </w:pPr>
      <w:r w:rsidRPr="00F6641E">
        <w:rPr>
          <w:lang w:eastAsia="cs-CZ"/>
        </w:rPr>
        <w:t>−</w:t>
      </w:r>
      <w:r w:rsidRPr="00F6641E">
        <w:tab/>
      </w:r>
      <w:r w:rsidR="0030086C" w:rsidRPr="00F6641E">
        <w:t>nebyly dodavatelem objasněny nebo doplněny na základě žádosti podle písm. b) tohoto článku zadávací dokumentace, nebo</w:t>
      </w:r>
    </w:p>
    <w:p w14:paraId="3A117BB6" w14:textId="348088B7" w:rsidR="0030086C" w:rsidRPr="00F6641E" w:rsidRDefault="0030086C" w:rsidP="00185654">
      <w:pPr>
        <w:spacing w:after="120"/>
        <w:ind w:left="851" w:hanging="284"/>
        <w:jc w:val="both"/>
        <w:rPr>
          <w:lang w:eastAsia="cs-CZ"/>
        </w:rPr>
      </w:pPr>
      <w:r w:rsidRPr="00F6641E">
        <w:rPr>
          <w:lang w:eastAsia="cs-CZ"/>
        </w:rPr>
        <w:t>−</w:t>
      </w:r>
      <w:r w:rsidR="00122E09" w:rsidRPr="00F6641E">
        <w:rPr>
          <w:lang w:eastAsia="cs-CZ"/>
        </w:rPr>
        <w:tab/>
      </w:r>
      <w:r w:rsidRPr="00F6641E">
        <w:rPr>
          <w:lang w:eastAsia="cs-CZ"/>
        </w:rPr>
        <w:t>neodpovídají skutečnosti a měly nebo mohou mít vliv na posouzení podmínek účasti nebo na naplnění kritérií hodnocení.</w:t>
      </w:r>
    </w:p>
    <w:p w14:paraId="4BC3B568" w14:textId="3129EA9E" w:rsidR="0030086C" w:rsidRPr="00F6641E" w:rsidRDefault="0030086C" w:rsidP="00F1430E">
      <w:pPr>
        <w:spacing w:after="60"/>
        <w:ind w:left="568" w:hanging="284"/>
        <w:jc w:val="both"/>
        <w:rPr>
          <w:lang w:eastAsia="cs-CZ"/>
        </w:rPr>
      </w:pPr>
      <w:r w:rsidRPr="00F6641E">
        <w:rPr>
          <w:lang w:eastAsia="cs-CZ"/>
        </w:rPr>
        <w:t>e)</w:t>
      </w:r>
      <w:r w:rsidR="00D73DFB" w:rsidRPr="00F6641E">
        <w:rPr>
          <w:lang w:eastAsia="cs-CZ"/>
        </w:rPr>
        <w:tab/>
      </w:r>
      <w:r w:rsidRPr="00F6641E">
        <w:rPr>
          <w:lang w:eastAsia="cs-CZ"/>
        </w:rPr>
        <w:t>Zadavatel může vyloučit dodavatele z účasti v řízení k zadání veřejné zakázky v DNS též pokud:</w:t>
      </w:r>
    </w:p>
    <w:p w14:paraId="2E132AC7" w14:textId="1ADA2979" w:rsidR="0030086C" w:rsidRPr="00F6641E" w:rsidRDefault="0030086C" w:rsidP="00111462">
      <w:pPr>
        <w:spacing w:after="60"/>
        <w:ind w:left="851" w:hanging="284"/>
        <w:jc w:val="both"/>
        <w:rPr>
          <w:lang w:eastAsia="cs-CZ"/>
        </w:rPr>
      </w:pPr>
      <w:r w:rsidRPr="00F6641E">
        <w:rPr>
          <w:lang w:eastAsia="cs-CZ"/>
        </w:rPr>
        <w:t>−</w:t>
      </w:r>
      <w:r w:rsidR="00122E09" w:rsidRPr="00F6641E">
        <w:rPr>
          <w:lang w:eastAsia="cs-CZ"/>
        </w:rPr>
        <w:tab/>
      </w:r>
      <w:r w:rsidRPr="00F6641E">
        <w:rPr>
          <w:lang w:eastAsia="cs-CZ"/>
        </w:rPr>
        <w:t>nabídka dodavatele obsahuje mimořádně nízkou nabídkovou cenu, která nebyla dodavatelem k výzvě zadavatele zdůvodněna,</w:t>
      </w:r>
    </w:p>
    <w:p w14:paraId="305CDF86" w14:textId="217D0EF6" w:rsidR="0030086C" w:rsidRPr="00F6641E" w:rsidRDefault="00122E09" w:rsidP="00122E09">
      <w:pPr>
        <w:spacing w:after="60"/>
        <w:ind w:left="851" w:hanging="284"/>
      </w:pPr>
      <w:r w:rsidRPr="00F6641E">
        <w:rPr>
          <w:lang w:eastAsia="cs-CZ"/>
        </w:rPr>
        <w:t>−</w:t>
      </w:r>
      <w:r w:rsidRPr="00F6641E">
        <w:tab/>
      </w:r>
      <w:r w:rsidR="0030086C" w:rsidRPr="00F6641E">
        <w:t>vybraný dodavatel k výzvě zadavatele neposkytne v zadavatelem stanovené přiměřené lhůtě součinnost nezbytnou k uzavření smlouvy na veřejnou zakázku, nebo</w:t>
      </w:r>
    </w:p>
    <w:p w14:paraId="75F7D93D" w14:textId="7A5AA7EB" w:rsidR="0030086C" w:rsidRPr="00F6641E" w:rsidRDefault="0030086C" w:rsidP="00185654">
      <w:pPr>
        <w:spacing w:after="120"/>
        <w:ind w:left="851" w:hanging="284"/>
        <w:jc w:val="both"/>
        <w:rPr>
          <w:lang w:eastAsia="cs-CZ"/>
        </w:rPr>
      </w:pPr>
      <w:r w:rsidRPr="00F6641E">
        <w:rPr>
          <w:lang w:eastAsia="cs-CZ"/>
        </w:rPr>
        <w:t>−</w:t>
      </w:r>
      <w:r w:rsidR="00122E09" w:rsidRPr="00F6641E">
        <w:rPr>
          <w:lang w:eastAsia="cs-CZ"/>
        </w:rPr>
        <w:tab/>
      </w:r>
      <w:r w:rsidRPr="00F6641E">
        <w:rPr>
          <w:lang w:eastAsia="cs-CZ"/>
        </w:rPr>
        <w:t xml:space="preserve">vybraný dodavatel k výzvě zadavatele bez zbytečného odkladu neuzavře smlouvu na veřejnou zakázku. Vybraný dodavatel je povinen vstoupit do kontaktu se zadavatelem nejpozději do </w:t>
      </w:r>
      <w:r w:rsidR="000E5681" w:rsidRPr="00F6641E">
        <w:rPr>
          <w:lang w:eastAsia="cs-CZ"/>
        </w:rPr>
        <w:t>pě</w:t>
      </w:r>
      <w:r w:rsidRPr="00F6641E">
        <w:rPr>
          <w:lang w:eastAsia="cs-CZ"/>
        </w:rPr>
        <w:t>ti kalendářních dnů ode dne, kdy mu bylo doručeno oznámení zadavatele, že jeho nabídka byla vyhodnocena jako ekonomicky nejvýhodnější.</w:t>
      </w:r>
    </w:p>
    <w:p w14:paraId="4055F6E4" w14:textId="1890868B" w:rsidR="0030086C" w:rsidRPr="00F6641E" w:rsidRDefault="0030086C" w:rsidP="0076003B">
      <w:pPr>
        <w:spacing w:after="120"/>
        <w:ind w:left="568" w:hanging="284"/>
        <w:jc w:val="both"/>
        <w:rPr>
          <w:lang w:eastAsia="cs-CZ"/>
        </w:rPr>
      </w:pPr>
      <w:r w:rsidRPr="00F6641E">
        <w:rPr>
          <w:lang w:eastAsia="cs-CZ"/>
        </w:rPr>
        <w:t>f)</w:t>
      </w:r>
      <w:r w:rsidR="000C4566" w:rsidRPr="00F6641E">
        <w:rPr>
          <w:lang w:eastAsia="cs-CZ"/>
        </w:rPr>
        <w:tab/>
      </w:r>
      <w:r w:rsidRPr="00F6641E">
        <w:rPr>
          <w:lang w:eastAsia="cs-CZ"/>
        </w:rPr>
        <w:t>Vybraného dodavatele v případech uvedených shora pod písm. d) a e) musí zadavatel vyloučit vždy.</w:t>
      </w:r>
    </w:p>
    <w:p w14:paraId="3CED5AE0" w14:textId="69DF3FF3" w:rsidR="0030086C" w:rsidRPr="00F6641E" w:rsidRDefault="0030086C" w:rsidP="0076003B">
      <w:pPr>
        <w:spacing w:after="120"/>
        <w:ind w:left="568" w:hanging="284"/>
        <w:jc w:val="both"/>
        <w:rPr>
          <w:lang w:eastAsia="cs-CZ"/>
        </w:rPr>
      </w:pPr>
      <w:r w:rsidRPr="00F6641E">
        <w:rPr>
          <w:lang w:eastAsia="cs-CZ"/>
        </w:rPr>
        <w:t>g)</w:t>
      </w:r>
      <w:r w:rsidR="000C4566" w:rsidRPr="00F6641E">
        <w:rPr>
          <w:lang w:eastAsia="cs-CZ"/>
        </w:rPr>
        <w:tab/>
      </w:r>
      <w:r w:rsidRPr="00F6641E">
        <w:rPr>
          <w:lang w:eastAsia="cs-CZ"/>
        </w:rPr>
        <w:t>Zadavatel může vyloučit dodavatele z účasti v řízení k zadání veřejné zakázky v DNS, který přímo nebo pomocí poddodavatele, prostřednictvím kterého účastník prokazuje kvalifikaci, poruší ustanovení § 4b zákona č. 159/2006 Sb., o střetu zájmů, ve znění pozdějších předpisů.</w:t>
      </w:r>
    </w:p>
    <w:p w14:paraId="78C4193D" w14:textId="77777777" w:rsidR="0030086C" w:rsidRPr="00F6641E" w:rsidRDefault="0030086C" w:rsidP="0076003B">
      <w:pPr>
        <w:spacing w:after="120"/>
        <w:ind w:left="568" w:hanging="284"/>
        <w:jc w:val="both"/>
        <w:rPr>
          <w:lang w:eastAsia="cs-CZ"/>
        </w:rPr>
      </w:pPr>
      <w:r w:rsidRPr="00F6641E">
        <w:rPr>
          <w:lang w:eastAsia="cs-CZ"/>
        </w:rPr>
        <w:lastRenderedPageBreak/>
        <w:t>h) Pokud dojde k vyloučení vybraného dodavatele, může zadavatel vyzvat k uzavření smlouvy dalšího účastníka řízení k zadání veřejné zakázky v DNS, a to v pořadí, které vyplývá z výsledku nového hodnocení nabídek. Účastník řízení k zadání veřejné zakázky v DNS vyzvaný k uzavření smlouvy se považuje za vybraného dodavatele. Zadavatel může tento postup do uzavření smlouvy použít opakovaně.</w:t>
      </w:r>
    </w:p>
    <w:p w14:paraId="4857B69B" w14:textId="14221BC5" w:rsidR="00741F0B" w:rsidRPr="00F6641E" w:rsidRDefault="0030086C" w:rsidP="0076003B">
      <w:pPr>
        <w:spacing w:after="120"/>
        <w:ind w:left="568" w:hanging="284"/>
        <w:jc w:val="both"/>
        <w:rPr>
          <w:lang w:eastAsia="cs-CZ"/>
        </w:rPr>
      </w:pPr>
      <w:r w:rsidRPr="00F6641E">
        <w:rPr>
          <w:lang w:eastAsia="cs-CZ"/>
        </w:rPr>
        <w:t>i)</w:t>
      </w:r>
      <w:r w:rsidR="00D73DFB" w:rsidRPr="00F6641E">
        <w:rPr>
          <w:lang w:eastAsia="cs-CZ"/>
        </w:rPr>
        <w:tab/>
      </w:r>
      <w:r w:rsidRPr="00F6641E">
        <w:rPr>
          <w:lang w:eastAsia="cs-CZ"/>
        </w:rPr>
        <w:t>V případě, že dodavatel, který podal nabídku, odstoupí z řízení k zadání veřejné zakázky v DNS, dnem doručení tohoto odstoupení zadavateli účast v řízení k zadání veřejné zakázky v DNS tomuto dodavateli zaniká. Odstoupí-li vybraný dodavatel, může zadavatel</w:t>
      </w:r>
      <w:r w:rsidR="00741F0B" w:rsidRPr="00F6641E">
        <w:rPr>
          <w:lang w:eastAsia="cs-CZ"/>
        </w:rPr>
        <w:t xml:space="preserve"> vyzvat k uzavření smlouvy dalšího dodavatele, a to v pořadí dle výsledků nového hodnocení nabídek.</w:t>
      </w:r>
    </w:p>
    <w:p w14:paraId="6805372A" w14:textId="5E2FCF93" w:rsidR="00741F0B" w:rsidRPr="00F6641E" w:rsidRDefault="00741F0B" w:rsidP="00741F0B">
      <w:pPr>
        <w:spacing w:after="120"/>
        <w:ind w:left="567" w:hanging="283"/>
        <w:jc w:val="both"/>
        <w:rPr>
          <w:lang w:eastAsia="cs-CZ"/>
        </w:rPr>
      </w:pPr>
      <w:r w:rsidRPr="00F6641E">
        <w:rPr>
          <w:lang w:eastAsia="cs-CZ"/>
        </w:rPr>
        <w:t>j)</w:t>
      </w:r>
      <w:r w:rsidR="00D73DFB" w:rsidRPr="00F6641E">
        <w:rPr>
          <w:lang w:eastAsia="cs-CZ"/>
        </w:rPr>
        <w:tab/>
      </w:r>
      <w:r w:rsidRPr="00F6641E">
        <w:rPr>
          <w:lang w:eastAsia="cs-CZ"/>
        </w:rPr>
        <w:t>Zadavatel si dále vyhrazuje právo</w:t>
      </w:r>
    </w:p>
    <w:p w14:paraId="2B2244D0" w14:textId="77777777" w:rsidR="00741F0B" w:rsidRPr="00F6641E" w:rsidRDefault="00741F0B" w:rsidP="00D73DFB">
      <w:pPr>
        <w:spacing w:after="60"/>
        <w:ind w:left="851" w:hanging="284"/>
        <w:jc w:val="both"/>
        <w:rPr>
          <w:lang w:eastAsia="cs-CZ"/>
        </w:rPr>
      </w:pPr>
      <w:r w:rsidRPr="00F6641E">
        <w:rPr>
          <w:lang w:eastAsia="cs-CZ"/>
        </w:rPr>
        <w:t>− v průběhu lhůty pro podání nabídek dodatečně upřesnit nebo upravit zadávací podmínky,</w:t>
      </w:r>
    </w:p>
    <w:p w14:paraId="5CB6B162" w14:textId="77777777" w:rsidR="00741F0B" w:rsidRPr="00F6641E" w:rsidRDefault="00741F0B" w:rsidP="00D73DFB">
      <w:pPr>
        <w:spacing w:after="60"/>
        <w:ind w:left="851" w:hanging="284"/>
        <w:jc w:val="both"/>
        <w:rPr>
          <w:lang w:eastAsia="cs-CZ"/>
        </w:rPr>
      </w:pPr>
      <w:r w:rsidRPr="00F6641E">
        <w:rPr>
          <w:lang w:eastAsia="cs-CZ"/>
        </w:rPr>
        <w:t>− zrušit řízení k zadání veřejné zakázky v DNS do doby uzavření smlouvy,</w:t>
      </w:r>
    </w:p>
    <w:p w14:paraId="67BFE3ED" w14:textId="77777777" w:rsidR="00741F0B" w:rsidRPr="00F6641E" w:rsidRDefault="00741F0B" w:rsidP="00D73DFB">
      <w:pPr>
        <w:spacing w:after="120"/>
        <w:ind w:left="851" w:hanging="284"/>
        <w:jc w:val="both"/>
        <w:rPr>
          <w:lang w:eastAsia="cs-CZ"/>
        </w:rPr>
      </w:pPr>
      <w:r w:rsidRPr="00F6641E">
        <w:rPr>
          <w:lang w:eastAsia="cs-CZ"/>
        </w:rPr>
        <w:t>− ověřit skutečnosti uvedené dodavatelem v nabídce.</w:t>
      </w:r>
    </w:p>
    <w:p w14:paraId="4797E772" w14:textId="434CC85B" w:rsidR="00741F0B" w:rsidRPr="00F6641E" w:rsidRDefault="00741F0B" w:rsidP="00741F0B">
      <w:pPr>
        <w:spacing w:after="120"/>
        <w:ind w:left="567" w:hanging="283"/>
        <w:jc w:val="both"/>
        <w:rPr>
          <w:lang w:eastAsia="cs-CZ"/>
        </w:rPr>
      </w:pPr>
      <w:r w:rsidRPr="00F6641E">
        <w:rPr>
          <w:lang w:eastAsia="cs-CZ"/>
        </w:rPr>
        <w:t>k)</w:t>
      </w:r>
      <w:r w:rsidR="000C4566" w:rsidRPr="00F6641E">
        <w:rPr>
          <w:lang w:eastAsia="cs-CZ"/>
        </w:rPr>
        <w:tab/>
      </w:r>
      <w:r w:rsidRPr="00F6641E">
        <w:rPr>
          <w:lang w:eastAsia="cs-CZ"/>
        </w:rPr>
        <w:t>Zadavatel je oprávněn v průběhu řízení k zadání veřejné zakázky v DNS zmeškání zadavatelem stanovené lhůty k provedení určitého úkonu dodavatelem prominout nebo tuto lhůtu prodloužit, a to s výjimkou lhůty pro podání nabídek.</w:t>
      </w:r>
    </w:p>
    <w:p w14:paraId="2996CCEB" w14:textId="23BC7F7C" w:rsidR="00741F0B" w:rsidRPr="00F6641E" w:rsidRDefault="00741F0B" w:rsidP="00741F0B">
      <w:pPr>
        <w:spacing w:after="120"/>
        <w:ind w:left="567" w:hanging="283"/>
        <w:jc w:val="both"/>
        <w:rPr>
          <w:lang w:eastAsia="cs-CZ"/>
        </w:rPr>
      </w:pPr>
      <w:r w:rsidRPr="00F6641E">
        <w:rPr>
          <w:lang w:eastAsia="cs-CZ"/>
        </w:rPr>
        <w:t>l)</w:t>
      </w:r>
      <w:r w:rsidR="000C4566" w:rsidRPr="00F6641E">
        <w:rPr>
          <w:lang w:eastAsia="cs-CZ"/>
        </w:rPr>
        <w:tab/>
      </w:r>
      <w:r w:rsidRPr="00F6641E">
        <w:rPr>
          <w:lang w:eastAsia="cs-CZ"/>
        </w:rPr>
        <w:t>Zadavatel si vyhrazuje právo uveřejnit oznámení o výběru dodavatele na profilu zadavatele.</w:t>
      </w:r>
    </w:p>
    <w:p w14:paraId="1940184F" w14:textId="5624C6B0" w:rsidR="00741F0B" w:rsidRPr="00F6641E" w:rsidRDefault="00741F0B" w:rsidP="00741F0B">
      <w:pPr>
        <w:spacing w:after="120"/>
        <w:ind w:left="567" w:hanging="283"/>
        <w:jc w:val="both"/>
        <w:rPr>
          <w:lang w:eastAsia="cs-CZ"/>
        </w:rPr>
      </w:pPr>
      <w:r w:rsidRPr="00F6641E">
        <w:rPr>
          <w:lang w:eastAsia="cs-CZ"/>
        </w:rPr>
        <w:t>m)</w:t>
      </w:r>
      <w:r w:rsidR="001958FA" w:rsidRPr="00F6641E">
        <w:rPr>
          <w:lang w:eastAsia="cs-CZ"/>
        </w:rPr>
        <w:tab/>
      </w:r>
      <w:r w:rsidRPr="00F6641E">
        <w:rPr>
          <w:lang w:eastAsia="cs-CZ"/>
        </w:rPr>
        <w:t>Zadavatel si vyhrazuje právo postupovat v průběhu řízení k zadání veřejné zakázky v</w:t>
      </w:r>
      <w:r w:rsidR="001958FA" w:rsidRPr="00F6641E">
        <w:rPr>
          <w:lang w:eastAsia="cs-CZ"/>
        </w:rPr>
        <w:t> </w:t>
      </w:r>
      <w:r w:rsidRPr="00F6641E">
        <w:rPr>
          <w:lang w:eastAsia="cs-CZ"/>
        </w:rPr>
        <w:t>DNS podle § 48 odst. 5 písm. d) ZZVZ. Zadavatel může vyloučit účastníka řízení k</w:t>
      </w:r>
      <w:r w:rsidR="001958FA" w:rsidRPr="00F6641E">
        <w:rPr>
          <w:lang w:eastAsia="cs-CZ"/>
        </w:rPr>
        <w:t> </w:t>
      </w:r>
      <w:r w:rsidRPr="00F6641E">
        <w:rPr>
          <w:lang w:eastAsia="cs-CZ"/>
        </w:rPr>
        <w:t>zadání veřejné zakázky v DNS pro nezpůsobilost, pokud prokáže, že se účastník dopustil v posledních 3 letech od zahájení řízení k zadání veřejné zakázky v DNS závažných nebo dlouhodobých pochybení při plnění dřívějšího smluvního vztahu se zadavatelem zadávané zakázky v DNS, nebo s jiným veřejným zadavatelem, která vedla ke vzniku škody, předčasnému ukončení smluvního vztahu nebo jiným srovnatelným sankcím.</w:t>
      </w:r>
    </w:p>
    <w:p w14:paraId="4AF1465F" w14:textId="50E78CB1" w:rsidR="00741F0B" w:rsidRPr="00F6641E" w:rsidRDefault="00741F0B" w:rsidP="00741F0B">
      <w:pPr>
        <w:spacing w:after="120"/>
        <w:ind w:left="567" w:hanging="283"/>
        <w:jc w:val="both"/>
        <w:rPr>
          <w:lang w:eastAsia="cs-CZ"/>
        </w:rPr>
      </w:pPr>
      <w:r w:rsidRPr="00F6641E">
        <w:rPr>
          <w:lang w:eastAsia="cs-CZ"/>
        </w:rPr>
        <w:t>n)</w:t>
      </w:r>
      <w:r w:rsidR="001958FA" w:rsidRPr="00F6641E">
        <w:rPr>
          <w:lang w:eastAsia="cs-CZ"/>
        </w:rPr>
        <w:tab/>
      </w:r>
      <w:r w:rsidRPr="00F6641E">
        <w:rPr>
          <w:lang w:eastAsia="cs-CZ"/>
        </w:rPr>
        <w:t>Dodavatel je oprávněn ve lhůtě pro podání nabídek podanou nabídku vzít zpět a podat novou nabídku.</w:t>
      </w:r>
    </w:p>
    <w:p w14:paraId="252582C7" w14:textId="35AF2E71" w:rsidR="00741F0B" w:rsidRPr="00F6641E" w:rsidRDefault="00741F0B" w:rsidP="00741F0B">
      <w:pPr>
        <w:spacing w:after="120"/>
        <w:ind w:left="567" w:hanging="283"/>
        <w:jc w:val="both"/>
        <w:rPr>
          <w:lang w:eastAsia="cs-CZ"/>
        </w:rPr>
      </w:pPr>
      <w:r w:rsidRPr="00F6641E">
        <w:rPr>
          <w:lang w:eastAsia="cs-CZ"/>
        </w:rPr>
        <w:t>o)</w:t>
      </w:r>
      <w:r w:rsidR="001958FA" w:rsidRPr="00F6641E">
        <w:rPr>
          <w:lang w:eastAsia="cs-CZ"/>
        </w:rPr>
        <w:tab/>
      </w:r>
      <w:r w:rsidRPr="00F6641E">
        <w:rPr>
          <w:lang w:eastAsia="cs-CZ"/>
        </w:rPr>
        <w:t>Veškeré náklady účasti v řízení k zadání veřejné zakázky v DNS nese dodavatel.</w:t>
      </w:r>
    </w:p>
    <w:p w14:paraId="6B08370E" w14:textId="2EE6DA5B" w:rsidR="005D492F" w:rsidRPr="00F6641E" w:rsidRDefault="00741F0B" w:rsidP="00741F0B">
      <w:pPr>
        <w:spacing w:after="120"/>
        <w:ind w:left="567" w:hanging="283"/>
        <w:jc w:val="both"/>
        <w:rPr>
          <w:lang w:eastAsia="cs-CZ"/>
        </w:rPr>
      </w:pPr>
      <w:r w:rsidRPr="00F6641E">
        <w:rPr>
          <w:lang w:eastAsia="cs-CZ"/>
        </w:rPr>
        <w:t>p)</w:t>
      </w:r>
      <w:r w:rsidR="001958FA" w:rsidRPr="00F6641E">
        <w:rPr>
          <w:lang w:eastAsia="cs-CZ"/>
        </w:rPr>
        <w:tab/>
      </w:r>
      <w:r w:rsidRPr="00F6641E">
        <w:rPr>
          <w:lang w:eastAsia="cs-CZ"/>
        </w:rPr>
        <w:t>Zadavatel upozorňuje, že vybraný dodavatel je dle ust. § 2 písm. e) zákona č. 320/2001 Sb., o finanční kontrole, ve znění pozdějších předpisů, osobou povinnou spolupůsobit při výkonu finanční kontroly.</w:t>
      </w:r>
    </w:p>
    <w:p w14:paraId="6D69CF1D" w14:textId="77777777" w:rsidR="0046683F" w:rsidRPr="00F6641E" w:rsidRDefault="0046683F" w:rsidP="00292F40">
      <w:pPr>
        <w:pStyle w:val="Nadpis1"/>
        <w:spacing w:after="120" w:line="240" w:lineRule="auto"/>
        <w:ind w:left="357" w:hanging="357"/>
        <w:jc w:val="both"/>
        <w:rPr>
          <w:rFonts w:ascii="Arial" w:hAnsi="Arial" w:cs="Arial"/>
          <w:sz w:val="28"/>
          <w:szCs w:val="28"/>
        </w:rPr>
      </w:pPr>
      <w:r w:rsidRPr="00F6641E">
        <w:rPr>
          <w:rFonts w:ascii="Arial" w:hAnsi="Arial" w:cs="Arial"/>
          <w:sz w:val="28"/>
          <w:szCs w:val="28"/>
        </w:rPr>
        <w:t>ZÁVĚREČNÁ USTANOVENÍ</w:t>
      </w:r>
      <w:bookmarkEnd w:id="8"/>
      <w:bookmarkEnd w:id="9"/>
    </w:p>
    <w:p w14:paraId="1C305052" w14:textId="7A7362DD" w:rsidR="00A02A8F" w:rsidRPr="00F6641E" w:rsidRDefault="00A02A8F" w:rsidP="00A02A8F">
      <w:pPr>
        <w:pStyle w:val="seznam111"/>
        <w:numPr>
          <w:ilvl w:val="0"/>
          <w:numId w:val="0"/>
        </w:numPr>
        <w:spacing w:after="120" w:line="240" w:lineRule="auto"/>
        <w:jc w:val="both"/>
        <w:rPr>
          <w:rFonts w:eastAsiaTheme="minorEastAsia"/>
          <w:szCs w:val="24"/>
          <w:lang w:eastAsia="en-US"/>
        </w:rPr>
      </w:pPr>
      <w:r w:rsidRPr="00F6641E">
        <w:rPr>
          <w:rFonts w:eastAsiaTheme="minorEastAsia"/>
          <w:szCs w:val="24"/>
          <w:lang w:eastAsia="en-US"/>
        </w:rPr>
        <w:t>V případě, že nabídka dodavatele bude obsahovat osobní údaje fyzických osob, bude u</w:t>
      </w:r>
      <w:r w:rsidR="0076003B" w:rsidRPr="00F6641E">
        <w:rPr>
          <w:rFonts w:eastAsiaTheme="minorEastAsia"/>
          <w:szCs w:val="24"/>
          <w:lang w:eastAsia="en-US"/>
        </w:rPr>
        <w:t> </w:t>
      </w:r>
      <w:r w:rsidRPr="00F6641E">
        <w:rPr>
          <w:rFonts w:eastAsiaTheme="minorEastAsia"/>
          <w:szCs w:val="24"/>
          <w:lang w:eastAsia="en-US"/>
        </w:rPr>
        <w:t>zpracování těchto osobních údajů postupováno následovně:</w:t>
      </w:r>
    </w:p>
    <w:p w14:paraId="4699FBCD" w14:textId="0D8A5143" w:rsidR="00A254A9" w:rsidRPr="00F6641E" w:rsidRDefault="00A02A8F" w:rsidP="00A02A8F">
      <w:pPr>
        <w:pStyle w:val="seznam111"/>
        <w:numPr>
          <w:ilvl w:val="0"/>
          <w:numId w:val="0"/>
        </w:numPr>
        <w:spacing w:after="120" w:line="240" w:lineRule="auto"/>
        <w:jc w:val="both"/>
      </w:pPr>
      <w:r w:rsidRPr="00F6641E">
        <w:rPr>
          <w:rFonts w:eastAsiaTheme="minorEastAsia"/>
          <w:szCs w:val="24"/>
          <w:lang w:eastAsia="en-US"/>
        </w:rPr>
        <w:t>SPÚ jako správce osobních údajů dle zákona č. 110/2019 Sb., o zpracování osobních údajů, a platného nařízení (EU) 2016/679 (GDPR) tímto informuje uvedený subjekt osobních údajů, že jeho osobní údaje zpracovává pro účely realizace, výkonu práv a zákonných povinností. Uvedený subjekt osobních údajů si je vědom svého práva přístupu ke svým osobním údajům, práva na opravu osobních údajů, jakož i dalších práv vyplývajících z výše uvedené legislativy. Strany se zavazují, že při správě a zpracování osobních údajů budou dále postupovat v</w:t>
      </w:r>
      <w:r w:rsidR="0076003B" w:rsidRPr="00F6641E">
        <w:rPr>
          <w:rFonts w:eastAsiaTheme="minorEastAsia"/>
          <w:szCs w:val="24"/>
          <w:lang w:eastAsia="en-US"/>
        </w:rPr>
        <w:t> </w:t>
      </w:r>
      <w:r w:rsidRPr="00F6641E">
        <w:rPr>
          <w:rFonts w:eastAsiaTheme="minorEastAsia"/>
          <w:szCs w:val="24"/>
          <w:lang w:eastAsia="en-US"/>
        </w:rPr>
        <w:t>souladu s aktuální platnou a účinnou legislativou. Postupy a opatření se SPÚ zavazuje dodržovat po celou dobu trvání skartační lhůty ve smyslu § 2 písm. s) zákona č. 499/2004 Sb. o archivnictví a spisové službě a o změně některých zákonů, ve znění pozdějších předpisů a</w:t>
      </w:r>
      <w:r w:rsidR="0076003B" w:rsidRPr="00F6641E">
        <w:rPr>
          <w:rFonts w:eastAsiaTheme="minorEastAsia"/>
          <w:szCs w:val="24"/>
          <w:lang w:eastAsia="en-US"/>
        </w:rPr>
        <w:t> </w:t>
      </w:r>
      <w:r w:rsidRPr="00F6641E">
        <w:rPr>
          <w:rFonts w:eastAsiaTheme="minorEastAsia"/>
          <w:szCs w:val="24"/>
          <w:lang w:eastAsia="en-US"/>
        </w:rPr>
        <w:t>ve smyslu § 216 odst. 1 ZZVZ.</w:t>
      </w:r>
    </w:p>
    <w:p w14:paraId="0CE04B7D" w14:textId="3F239CEE" w:rsidR="00A007FD" w:rsidRPr="00F6641E" w:rsidRDefault="009D2B85" w:rsidP="00292F40">
      <w:pPr>
        <w:pStyle w:val="Nadpis1"/>
        <w:spacing w:after="120" w:line="240" w:lineRule="auto"/>
        <w:ind w:left="357" w:hanging="357"/>
        <w:jc w:val="both"/>
        <w:rPr>
          <w:rFonts w:ascii="Arial" w:hAnsi="Arial" w:cs="Arial"/>
          <w:caps/>
          <w:sz w:val="28"/>
          <w:szCs w:val="28"/>
        </w:rPr>
      </w:pPr>
      <w:r w:rsidRPr="00F6641E">
        <w:rPr>
          <w:rFonts w:ascii="Arial" w:hAnsi="Arial" w:cs="Arial"/>
          <w:caps/>
          <w:sz w:val="28"/>
          <w:szCs w:val="28"/>
        </w:rPr>
        <w:lastRenderedPageBreak/>
        <w:t>Seznam příl</w:t>
      </w:r>
      <w:r w:rsidR="00A007FD" w:rsidRPr="00F6641E">
        <w:rPr>
          <w:rFonts w:ascii="Arial" w:hAnsi="Arial" w:cs="Arial"/>
          <w:caps/>
          <w:sz w:val="28"/>
          <w:szCs w:val="28"/>
        </w:rPr>
        <w:t>oh:</w:t>
      </w:r>
    </w:p>
    <w:p w14:paraId="7C4F1E0C" w14:textId="35526578" w:rsidR="009A358F" w:rsidRPr="00F6641E" w:rsidRDefault="009A358F" w:rsidP="009A358F">
      <w:pPr>
        <w:spacing w:after="120"/>
        <w:ind w:left="1418" w:hanging="1418"/>
        <w:rPr>
          <w:rFonts w:eastAsia="Calibri" w:cs="Arial"/>
          <w:szCs w:val="22"/>
        </w:rPr>
      </w:pPr>
      <w:r w:rsidRPr="00F6641E">
        <w:rPr>
          <w:rFonts w:eastAsia="Calibri" w:cs="Arial"/>
          <w:szCs w:val="22"/>
        </w:rPr>
        <w:t xml:space="preserve">Příloha č. 1 – </w:t>
      </w:r>
      <w:r w:rsidRPr="00F6641E">
        <w:rPr>
          <w:rFonts w:eastAsia="Calibri" w:cs="Arial"/>
          <w:szCs w:val="22"/>
        </w:rPr>
        <w:tab/>
        <w:t>Písemné čestné prohlášení o tom, že se nezměnily údaje rozhodné pro posouzení kvalifikace předložené v žádosti o účast</w:t>
      </w:r>
    </w:p>
    <w:p w14:paraId="0240B929" w14:textId="63C93270" w:rsidR="009A358F" w:rsidRPr="00F6641E" w:rsidRDefault="009A358F" w:rsidP="009A358F">
      <w:pPr>
        <w:spacing w:after="120"/>
        <w:rPr>
          <w:rFonts w:eastAsia="Calibri" w:cs="Arial"/>
          <w:szCs w:val="22"/>
        </w:rPr>
      </w:pPr>
      <w:r w:rsidRPr="00F6641E">
        <w:rPr>
          <w:rFonts w:eastAsia="Calibri" w:cs="Arial"/>
          <w:szCs w:val="22"/>
        </w:rPr>
        <w:t>Příloha č. 2 –</w:t>
      </w:r>
      <w:r w:rsidRPr="00F6641E">
        <w:rPr>
          <w:rFonts w:eastAsia="Calibri" w:cs="Arial"/>
          <w:szCs w:val="22"/>
        </w:rPr>
        <w:tab/>
        <w:t>Návrh smlouvy o dílo</w:t>
      </w:r>
    </w:p>
    <w:p w14:paraId="080C04AF" w14:textId="0CB649F7" w:rsidR="009A358F" w:rsidRPr="00F6641E" w:rsidRDefault="009A358F" w:rsidP="009A358F">
      <w:pPr>
        <w:spacing w:after="120"/>
        <w:rPr>
          <w:rFonts w:eastAsia="Calibri" w:cs="Arial"/>
          <w:szCs w:val="22"/>
        </w:rPr>
      </w:pPr>
      <w:r w:rsidRPr="00F6641E">
        <w:rPr>
          <w:rFonts w:eastAsia="Calibri" w:cs="Arial"/>
          <w:szCs w:val="22"/>
        </w:rPr>
        <w:t>Příloha č. 3 –</w:t>
      </w:r>
      <w:r w:rsidRPr="00F6641E">
        <w:rPr>
          <w:rFonts w:eastAsia="Calibri" w:cs="Arial"/>
          <w:szCs w:val="22"/>
        </w:rPr>
        <w:tab/>
        <w:t>Seznam parcel k vytyčení (*.xlsx)</w:t>
      </w:r>
    </w:p>
    <w:p w14:paraId="46E47CD8" w14:textId="6501BB86" w:rsidR="00D353B9" w:rsidRPr="00F6641E" w:rsidRDefault="009A358F" w:rsidP="009A358F">
      <w:pPr>
        <w:spacing w:after="120"/>
      </w:pPr>
      <w:r w:rsidRPr="00F6641E">
        <w:rPr>
          <w:rFonts w:eastAsia="Calibri" w:cs="Arial"/>
          <w:szCs w:val="22"/>
        </w:rPr>
        <w:t>Příloha č. 4 –</w:t>
      </w:r>
      <w:r w:rsidRPr="00F6641E">
        <w:rPr>
          <w:rFonts w:eastAsia="Calibri" w:cs="Arial"/>
          <w:szCs w:val="22"/>
        </w:rPr>
        <w:tab/>
        <w:t>Zákres vytyčovaných vlastnických hranic (*.dgn)</w:t>
      </w:r>
    </w:p>
    <w:p w14:paraId="4696370C" w14:textId="77777777" w:rsidR="00094F57" w:rsidRPr="00F6641E" w:rsidRDefault="00094F57" w:rsidP="00EC79F8">
      <w:pPr>
        <w:spacing w:before="120" w:after="120"/>
        <w:contextualSpacing/>
        <w:jc w:val="both"/>
      </w:pPr>
    </w:p>
    <w:p w14:paraId="3C21EC92" w14:textId="77777777" w:rsidR="00E25832" w:rsidRPr="00F6641E" w:rsidRDefault="00E25832" w:rsidP="00EC79F8">
      <w:pPr>
        <w:spacing w:before="120" w:after="120"/>
        <w:contextualSpacing/>
        <w:jc w:val="both"/>
      </w:pPr>
    </w:p>
    <w:p w14:paraId="0BCA9344" w14:textId="14AB3929" w:rsidR="0046683F" w:rsidRPr="00F6641E" w:rsidRDefault="0046683F" w:rsidP="00EC79F8">
      <w:pPr>
        <w:spacing w:before="120" w:after="120"/>
        <w:contextualSpacing/>
        <w:jc w:val="both"/>
      </w:pPr>
      <w:r w:rsidRPr="00F6641E">
        <w:t>Zlín</w:t>
      </w:r>
      <w:r w:rsidR="00401309" w:rsidRPr="00F6641E">
        <w:t>,</w:t>
      </w:r>
      <w:r w:rsidRPr="00F6641E">
        <w:t xml:space="preserve"> dne </w:t>
      </w:r>
      <w:r w:rsidR="00401309" w:rsidRPr="00F6641E">
        <w:t>dle el. podpisu</w:t>
      </w:r>
    </w:p>
    <w:p w14:paraId="75804B40" w14:textId="77777777" w:rsidR="0046683F" w:rsidRPr="00F6641E" w:rsidRDefault="0046683F" w:rsidP="00EC79F8">
      <w:pPr>
        <w:spacing w:before="120" w:after="120"/>
        <w:contextualSpacing/>
        <w:jc w:val="both"/>
      </w:pPr>
    </w:p>
    <w:p w14:paraId="55D3D541" w14:textId="77777777" w:rsidR="0046683F" w:rsidRPr="00F6641E" w:rsidRDefault="0046683F" w:rsidP="00EC79F8">
      <w:pPr>
        <w:spacing w:before="120" w:after="120"/>
        <w:contextualSpacing/>
        <w:jc w:val="both"/>
      </w:pPr>
    </w:p>
    <w:p w14:paraId="3AA8F3F5" w14:textId="77777777" w:rsidR="0046683F" w:rsidRPr="00F6641E" w:rsidRDefault="0046683F" w:rsidP="00EC79F8">
      <w:pPr>
        <w:spacing w:before="120" w:after="120"/>
        <w:contextualSpacing/>
        <w:jc w:val="both"/>
      </w:pPr>
    </w:p>
    <w:p w14:paraId="7EA3D392" w14:textId="77777777" w:rsidR="0046683F" w:rsidRPr="00F6641E" w:rsidRDefault="0046683F" w:rsidP="00EC79F8">
      <w:pPr>
        <w:spacing w:before="120" w:after="120"/>
        <w:contextualSpacing/>
        <w:jc w:val="both"/>
      </w:pPr>
    </w:p>
    <w:p w14:paraId="6DF87282" w14:textId="77777777" w:rsidR="0046683F" w:rsidRPr="00F6641E" w:rsidRDefault="0046683F" w:rsidP="00EC79F8">
      <w:pPr>
        <w:spacing w:before="120" w:after="120"/>
        <w:contextualSpacing/>
        <w:jc w:val="both"/>
      </w:pPr>
    </w:p>
    <w:p w14:paraId="4F1365ED" w14:textId="763C2C0F" w:rsidR="00AC78F3" w:rsidRPr="00F6641E" w:rsidRDefault="00401309" w:rsidP="00C24741">
      <w:pPr>
        <w:spacing w:before="120" w:after="120"/>
        <w:rPr>
          <w:i/>
          <w:iCs/>
        </w:rPr>
      </w:pPr>
      <w:r w:rsidRPr="00F6641E">
        <w:rPr>
          <w:i/>
          <w:iCs/>
        </w:rPr>
        <w:t>„</w:t>
      </w:r>
      <w:r w:rsidR="00C24741" w:rsidRPr="00F6641E">
        <w:rPr>
          <w:i/>
          <w:iCs/>
        </w:rPr>
        <w:t>elektronicky podepsáno</w:t>
      </w:r>
      <w:r w:rsidRPr="00F6641E">
        <w:rPr>
          <w:i/>
          <w:iCs/>
        </w:rPr>
        <w:t>“</w:t>
      </w:r>
    </w:p>
    <w:p w14:paraId="6F4DE9C6" w14:textId="363A04AC" w:rsidR="00D353B9" w:rsidRPr="00F6641E" w:rsidRDefault="00D353B9" w:rsidP="00C24741">
      <w:pPr>
        <w:spacing w:before="120" w:after="120"/>
        <w:contextualSpacing/>
      </w:pPr>
      <w:r w:rsidRPr="00F6641E">
        <w:t>Ing. Mlada Augustinová</w:t>
      </w:r>
    </w:p>
    <w:p w14:paraId="1B0E3736" w14:textId="77777777" w:rsidR="007A0421" w:rsidRPr="00F6641E" w:rsidRDefault="00D353B9" w:rsidP="00EC79F8">
      <w:pPr>
        <w:spacing w:before="120" w:after="120"/>
        <w:contextualSpacing/>
        <w:jc w:val="both"/>
      </w:pPr>
      <w:r w:rsidRPr="00F6641E">
        <w:t xml:space="preserve">ředitelka </w:t>
      </w:r>
    </w:p>
    <w:p w14:paraId="0B68C3D9" w14:textId="2D9B3A10" w:rsidR="00E074D2" w:rsidRPr="00F6641E" w:rsidRDefault="00D353B9" w:rsidP="00707102">
      <w:pPr>
        <w:spacing w:before="120" w:after="120"/>
        <w:jc w:val="both"/>
      </w:pPr>
      <w:r w:rsidRPr="00F6641E">
        <w:t>Krajského pozemkového</w:t>
      </w:r>
      <w:r w:rsidR="0046683F" w:rsidRPr="00F6641E">
        <w:t xml:space="preserve"> úřad</w:t>
      </w:r>
      <w:r w:rsidRPr="00F6641E">
        <w:t>u</w:t>
      </w:r>
      <w:r w:rsidR="0046683F" w:rsidRPr="00F6641E">
        <w:t xml:space="preserve"> pro Zlínský kraj</w:t>
      </w:r>
    </w:p>
    <w:p w14:paraId="528153B0" w14:textId="77777777" w:rsidR="00DF5712" w:rsidRPr="00F6641E" w:rsidRDefault="00DF5712" w:rsidP="00DF5712">
      <w:pPr>
        <w:jc w:val="both"/>
      </w:pPr>
      <w:r w:rsidRPr="00F6641E">
        <w:t xml:space="preserve">v z. Ing. Radka Zábojníková, Ph.D. </w:t>
      </w:r>
    </w:p>
    <w:p w14:paraId="219D7D28" w14:textId="46747B14" w:rsidR="00DF5712" w:rsidRPr="00F6641E" w:rsidRDefault="00DF5712" w:rsidP="00DF5712">
      <w:pPr>
        <w:jc w:val="both"/>
      </w:pPr>
      <w:r w:rsidRPr="00F6641E">
        <w:t>zástupkyně ředitelky</w:t>
      </w:r>
    </w:p>
    <w:sectPr w:rsidR="00DF5712" w:rsidRPr="00F6641E" w:rsidSect="007A589E">
      <w:headerReference w:type="even" r:id="rId8"/>
      <w:footerReference w:type="default" r:id="rId9"/>
      <w:headerReference w:type="first" r:id="rId10"/>
      <w:footerReference w:type="first" r:id="rId11"/>
      <w:pgSz w:w="11900" w:h="16820"/>
      <w:pgMar w:top="851" w:right="1418"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D4C08" w14:textId="77777777" w:rsidR="00BF19CA" w:rsidRDefault="00BF19CA" w:rsidP="00CF67C0">
      <w:r>
        <w:separator/>
      </w:r>
    </w:p>
  </w:endnote>
  <w:endnote w:type="continuationSeparator" w:id="0">
    <w:p w14:paraId="5858E935" w14:textId="77777777" w:rsidR="00BF19CA" w:rsidRDefault="00BF19CA"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altName w:val="Segoe UI"/>
    <w:charset w:val="58"/>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4646" w14:textId="77777777" w:rsidR="00093CEC" w:rsidRDefault="008A0E29" w:rsidP="00016433">
    <w:pPr>
      <w:pStyle w:val="Zpat"/>
      <w:tabs>
        <w:tab w:val="clear" w:pos="4153"/>
        <w:tab w:val="clear" w:pos="8306"/>
      </w:tabs>
      <w:ind w:left="-1080"/>
    </w:pPr>
    <w:r>
      <w:rPr>
        <w:rFonts w:cs="Arial"/>
        <w:noProof/>
        <w:lang w:val="en-US"/>
      </w:rPr>
      <w:pict w14:anchorId="3E2F5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10.95pt;margin-top:729.4pt;width:475.55pt;height:13.45pt;z-index:-251655680;mso-wrap-edited:f;mso-position-horizontal-relative:margin;mso-position-vertical-relative:margin" wrapcoords="-31 0 -31 19326 21600 19326 21600 0 -31 0">
          <v:imagedata r:id="rId1" o:title="SPU_papirA4-zapati-ICO"/>
          <w10:wrap anchorx="margin" anchory="margin"/>
        </v:shape>
      </w:pict>
    </w:r>
    <w:r w:rsidR="00A74462">
      <w:rPr>
        <w:noProof/>
        <w:lang w:eastAsia="cs-CZ"/>
      </w:rPr>
      <mc:AlternateContent>
        <mc:Choice Requires="wps">
          <w:drawing>
            <wp:anchor distT="0" distB="0" distL="114300" distR="114300" simplePos="0" relativeHeight="251653632" behindDoc="0" locked="0" layoutInCell="1" allowOverlap="1" wp14:anchorId="394EF181" wp14:editId="2493B9FB">
              <wp:simplePos x="0" y="0"/>
              <wp:positionH relativeFrom="column">
                <wp:posOffset>4576445</wp:posOffset>
              </wp:positionH>
              <wp:positionV relativeFrom="paragraph">
                <wp:posOffset>-281940</wp:posOffset>
              </wp:positionV>
              <wp:extent cx="1177290" cy="256540"/>
              <wp:effectExtent l="0" t="0" r="3810" b="0"/>
              <wp:wrapSquare wrapText="bothSides"/>
              <wp:docPr id="3" name="Text Box 3"/>
              <wp:cNvGraphicFramePr/>
              <a:graphic xmlns:a="http://schemas.openxmlformats.org/drawingml/2006/main">
                <a:graphicData uri="http://schemas.microsoft.com/office/word/2010/wordprocessingShape">
                  <wps:wsp>
                    <wps:cNvSpPr txBox="1"/>
                    <wps:spPr>
                      <a:xfrm>
                        <a:off x="0" y="0"/>
                        <a:ext cx="1177290" cy="2565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3D506A" w14:textId="1BE9E2DF" w:rsidR="00093CEC" w:rsidRPr="00D43263" w:rsidRDefault="00093CEC" w:rsidP="00EF1BF7">
                          <w:pPr>
                            <w:jc w:val="right"/>
                            <w:rPr>
                              <w:sz w:val="18"/>
                              <w:szCs w:val="18"/>
                            </w:rPr>
                          </w:pPr>
                          <w:r w:rsidRPr="00D43263">
                            <w:rPr>
                              <w:sz w:val="18"/>
                              <w:szCs w:val="18"/>
                              <w:lang w:val="en-US"/>
                            </w:rPr>
                            <w:fldChar w:fldCharType="begin"/>
                          </w:r>
                          <w:r w:rsidRPr="00D43263">
                            <w:rPr>
                              <w:sz w:val="18"/>
                              <w:szCs w:val="18"/>
                              <w:lang w:val="en-US"/>
                            </w:rPr>
                            <w:instrText xml:space="preserve"> PAGE </w:instrText>
                          </w:r>
                          <w:r w:rsidRPr="00D43263">
                            <w:rPr>
                              <w:sz w:val="18"/>
                              <w:szCs w:val="18"/>
                              <w:lang w:val="en-US"/>
                            </w:rPr>
                            <w:fldChar w:fldCharType="separate"/>
                          </w:r>
                          <w:r w:rsidR="002D5FCB">
                            <w:rPr>
                              <w:noProof/>
                              <w:sz w:val="18"/>
                              <w:szCs w:val="18"/>
                              <w:lang w:val="en-US"/>
                            </w:rPr>
                            <w:t>4</w:t>
                          </w:r>
                          <w:r w:rsidRPr="00D43263">
                            <w:rPr>
                              <w:sz w:val="18"/>
                              <w:szCs w:val="18"/>
                              <w:lang w:val="en-US"/>
                            </w:rPr>
                            <w:fldChar w:fldCharType="end"/>
                          </w:r>
                          <w:r>
                            <w:rPr>
                              <w:sz w:val="18"/>
                              <w:szCs w:val="18"/>
                              <w:lang w:val="en-US"/>
                            </w:rPr>
                            <w:t xml:space="preserve"> /</w:t>
                          </w:r>
                          <w:r w:rsidRPr="00D43263">
                            <w:rPr>
                              <w:sz w:val="18"/>
                              <w:szCs w:val="18"/>
                              <w:lang w:val="en-US"/>
                            </w:rPr>
                            <w:t xml:space="preserve"> </w:t>
                          </w:r>
                          <w:r w:rsidRPr="00D43263">
                            <w:rPr>
                              <w:sz w:val="18"/>
                              <w:szCs w:val="18"/>
                              <w:lang w:val="en-US"/>
                            </w:rPr>
                            <w:fldChar w:fldCharType="begin"/>
                          </w:r>
                          <w:r w:rsidRPr="00D43263">
                            <w:rPr>
                              <w:sz w:val="18"/>
                              <w:szCs w:val="18"/>
                              <w:lang w:val="en-US"/>
                            </w:rPr>
                            <w:instrText xml:space="preserve"> NUMPAGES </w:instrText>
                          </w:r>
                          <w:r w:rsidRPr="00D43263">
                            <w:rPr>
                              <w:sz w:val="18"/>
                              <w:szCs w:val="18"/>
                              <w:lang w:val="en-US"/>
                            </w:rPr>
                            <w:fldChar w:fldCharType="separate"/>
                          </w:r>
                          <w:r w:rsidR="002D5FCB">
                            <w:rPr>
                              <w:noProof/>
                              <w:sz w:val="18"/>
                              <w:szCs w:val="18"/>
                              <w:lang w:val="en-US"/>
                            </w:rPr>
                            <w:t>10</w:t>
                          </w:r>
                          <w:r w:rsidRPr="00D43263">
                            <w:rPr>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EF181" id="_x0000_t202" coordsize="21600,21600" o:spt="202" path="m,l,21600r21600,l21600,xe">
              <v:stroke joinstyle="miter"/>
              <v:path gradientshapeok="t" o:connecttype="rect"/>
            </v:shapetype>
            <v:shape id="Text Box 3" o:spid="_x0000_s1026" type="#_x0000_t202" style="position:absolute;left:0;text-align:left;margin-left:360.35pt;margin-top:-22.2pt;width:92.7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" filled="f" stroked="f">
              <v:textbox inset="0,7.2pt,0">
                <w:txbxContent>
                  <w:p w14:paraId="513D506A" w14:textId="1BE9E2DF" w:rsidR="00093CEC" w:rsidRPr="00D43263" w:rsidRDefault="00093CEC" w:rsidP="00EF1BF7">
                    <w:pPr>
                      <w:jc w:val="right"/>
                      <w:rPr>
                        <w:sz w:val="18"/>
                        <w:szCs w:val="18"/>
                      </w:rPr>
                    </w:pPr>
                    <w:r w:rsidRPr="00D43263">
                      <w:rPr>
                        <w:sz w:val="18"/>
                        <w:szCs w:val="18"/>
                        <w:lang w:val="en-US"/>
                      </w:rPr>
                      <w:fldChar w:fldCharType="begin"/>
                    </w:r>
                    <w:r w:rsidRPr="00D43263">
                      <w:rPr>
                        <w:sz w:val="18"/>
                        <w:szCs w:val="18"/>
                        <w:lang w:val="en-US"/>
                      </w:rPr>
                      <w:instrText xml:space="preserve"> PAGE </w:instrText>
                    </w:r>
                    <w:r w:rsidRPr="00D43263">
                      <w:rPr>
                        <w:sz w:val="18"/>
                        <w:szCs w:val="18"/>
                        <w:lang w:val="en-US"/>
                      </w:rPr>
                      <w:fldChar w:fldCharType="separate"/>
                    </w:r>
                    <w:r w:rsidR="002D5FCB">
                      <w:rPr>
                        <w:noProof/>
                        <w:sz w:val="18"/>
                        <w:szCs w:val="18"/>
                        <w:lang w:val="en-US"/>
                      </w:rPr>
                      <w:t>4</w:t>
                    </w:r>
                    <w:r w:rsidRPr="00D43263">
                      <w:rPr>
                        <w:sz w:val="18"/>
                        <w:szCs w:val="18"/>
                        <w:lang w:val="en-US"/>
                      </w:rPr>
                      <w:fldChar w:fldCharType="end"/>
                    </w:r>
                    <w:r>
                      <w:rPr>
                        <w:sz w:val="18"/>
                        <w:szCs w:val="18"/>
                        <w:lang w:val="en-US"/>
                      </w:rPr>
                      <w:t xml:space="preserve"> /</w:t>
                    </w:r>
                    <w:r w:rsidRPr="00D43263">
                      <w:rPr>
                        <w:sz w:val="18"/>
                        <w:szCs w:val="18"/>
                        <w:lang w:val="en-US"/>
                      </w:rPr>
                      <w:t xml:space="preserve"> </w:t>
                    </w:r>
                    <w:r w:rsidRPr="00D43263">
                      <w:rPr>
                        <w:sz w:val="18"/>
                        <w:szCs w:val="18"/>
                        <w:lang w:val="en-US"/>
                      </w:rPr>
                      <w:fldChar w:fldCharType="begin"/>
                    </w:r>
                    <w:r w:rsidRPr="00D43263">
                      <w:rPr>
                        <w:sz w:val="18"/>
                        <w:szCs w:val="18"/>
                        <w:lang w:val="en-US"/>
                      </w:rPr>
                      <w:instrText xml:space="preserve"> NUMPAGES </w:instrText>
                    </w:r>
                    <w:r w:rsidRPr="00D43263">
                      <w:rPr>
                        <w:sz w:val="18"/>
                        <w:szCs w:val="18"/>
                        <w:lang w:val="en-US"/>
                      </w:rPr>
                      <w:fldChar w:fldCharType="separate"/>
                    </w:r>
                    <w:r w:rsidR="002D5FCB">
                      <w:rPr>
                        <w:noProof/>
                        <w:sz w:val="18"/>
                        <w:szCs w:val="18"/>
                        <w:lang w:val="en-US"/>
                      </w:rPr>
                      <w:t>10</w:t>
                    </w:r>
                    <w:r w:rsidRPr="00D43263">
                      <w:rPr>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8689" w14:textId="77777777" w:rsidR="00093CEC" w:rsidRDefault="00093CEC">
    <w:pPr>
      <w:pStyle w:val="Zpat"/>
    </w:pPr>
    <w:r>
      <w:rPr>
        <w:noProof/>
        <w:lang w:eastAsia="cs-CZ"/>
      </w:rPr>
      <mc:AlternateContent>
        <mc:Choice Requires="wps">
          <w:drawing>
            <wp:anchor distT="0" distB="0" distL="114300" distR="114300" simplePos="0" relativeHeight="251654656" behindDoc="0" locked="0" layoutInCell="1" allowOverlap="1" wp14:anchorId="05829F2B" wp14:editId="7F20E7CB">
              <wp:simplePos x="0" y="0"/>
              <wp:positionH relativeFrom="column">
                <wp:posOffset>4576445</wp:posOffset>
              </wp:positionH>
              <wp:positionV relativeFrom="paragraph">
                <wp:posOffset>-300990</wp:posOffset>
              </wp:positionV>
              <wp:extent cx="11811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81100" cy="2565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450D8A" w14:textId="5BA240B1" w:rsidR="00093CEC" w:rsidRPr="00D43263" w:rsidRDefault="00093CEC" w:rsidP="0052642D">
                          <w:pPr>
                            <w:jc w:val="right"/>
                            <w:rPr>
                              <w:sz w:val="18"/>
                              <w:szCs w:val="18"/>
                            </w:rPr>
                          </w:pPr>
                          <w:r w:rsidRPr="00D43263">
                            <w:rPr>
                              <w:sz w:val="18"/>
                              <w:szCs w:val="18"/>
                              <w:lang w:val="en-US"/>
                            </w:rPr>
                            <w:fldChar w:fldCharType="begin"/>
                          </w:r>
                          <w:r w:rsidRPr="00D43263">
                            <w:rPr>
                              <w:sz w:val="18"/>
                              <w:szCs w:val="18"/>
                              <w:lang w:val="en-US"/>
                            </w:rPr>
                            <w:instrText xml:space="preserve"> PAGE </w:instrText>
                          </w:r>
                          <w:r w:rsidRPr="00D43263">
                            <w:rPr>
                              <w:sz w:val="18"/>
                              <w:szCs w:val="18"/>
                              <w:lang w:val="en-US"/>
                            </w:rPr>
                            <w:fldChar w:fldCharType="separate"/>
                          </w:r>
                          <w:r w:rsidR="008E0F8C">
                            <w:rPr>
                              <w:noProof/>
                              <w:sz w:val="18"/>
                              <w:szCs w:val="18"/>
                              <w:lang w:val="en-US"/>
                            </w:rPr>
                            <w:t>1</w:t>
                          </w:r>
                          <w:r w:rsidRPr="00D43263">
                            <w:rPr>
                              <w:sz w:val="18"/>
                              <w:szCs w:val="18"/>
                              <w:lang w:val="en-US"/>
                            </w:rPr>
                            <w:fldChar w:fldCharType="end"/>
                          </w:r>
                          <w:r>
                            <w:rPr>
                              <w:sz w:val="18"/>
                              <w:szCs w:val="18"/>
                              <w:lang w:val="en-US"/>
                            </w:rPr>
                            <w:t xml:space="preserve"> /</w:t>
                          </w:r>
                          <w:r w:rsidRPr="00D43263">
                            <w:rPr>
                              <w:sz w:val="18"/>
                              <w:szCs w:val="18"/>
                              <w:lang w:val="en-US"/>
                            </w:rPr>
                            <w:t xml:space="preserve"> </w:t>
                          </w:r>
                          <w:r w:rsidRPr="00D43263">
                            <w:rPr>
                              <w:sz w:val="18"/>
                              <w:szCs w:val="18"/>
                              <w:lang w:val="en-US"/>
                            </w:rPr>
                            <w:fldChar w:fldCharType="begin"/>
                          </w:r>
                          <w:r w:rsidRPr="00D43263">
                            <w:rPr>
                              <w:sz w:val="18"/>
                              <w:szCs w:val="18"/>
                              <w:lang w:val="en-US"/>
                            </w:rPr>
                            <w:instrText xml:space="preserve"> NUMPAGES </w:instrText>
                          </w:r>
                          <w:r w:rsidRPr="00D43263">
                            <w:rPr>
                              <w:sz w:val="18"/>
                              <w:szCs w:val="18"/>
                              <w:lang w:val="en-US"/>
                            </w:rPr>
                            <w:fldChar w:fldCharType="separate"/>
                          </w:r>
                          <w:r w:rsidR="008E0F8C">
                            <w:rPr>
                              <w:noProof/>
                              <w:sz w:val="18"/>
                              <w:szCs w:val="18"/>
                              <w:lang w:val="en-US"/>
                            </w:rPr>
                            <w:t>10</w:t>
                          </w:r>
                          <w:r w:rsidRPr="00D43263">
                            <w:rPr>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29F2B" id="_x0000_t202" coordsize="21600,21600" o:spt="202" path="m,l,21600r21600,l21600,xe">
              <v:stroke joinstyle="miter"/>
              <v:path gradientshapeok="t" o:connecttype="rect"/>
            </v:shapetype>
            <v:shape id="Text Box 8" o:spid="_x0000_s1028" type="#_x0000_t202" style="position:absolute;margin-left:360.35pt;margin-top:-23.7pt;width:93pt;height:20.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" filled="f" stroked="f">
              <v:textbox inset="0,7.2pt,0">
                <w:txbxContent>
                  <w:p w14:paraId="75450D8A" w14:textId="5BA240B1" w:rsidR="00093CEC" w:rsidRPr="00D43263" w:rsidRDefault="00093CEC" w:rsidP="0052642D">
                    <w:pPr>
                      <w:jc w:val="right"/>
                      <w:rPr>
                        <w:sz w:val="18"/>
                        <w:szCs w:val="18"/>
                      </w:rPr>
                    </w:pPr>
                    <w:r w:rsidRPr="00D43263">
                      <w:rPr>
                        <w:sz w:val="18"/>
                        <w:szCs w:val="18"/>
                        <w:lang w:val="en-US"/>
                      </w:rPr>
                      <w:fldChar w:fldCharType="begin"/>
                    </w:r>
                    <w:r w:rsidRPr="00D43263">
                      <w:rPr>
                        <w:sz w:val="18"/>
                        <w:szCs w:val="18"/>
                        <w:lang w:val="en-US"/>
                      </w:rPr>
                      <w:instrText xml:space="preserve"> PAGE </w:instrText>
                    </w:r>
                    <w:r w:rsidRPr="00D43263">
                      <w:rPr>
                        <w:sz w:val="18"/>
                        <w:szCs w:val="18"/>
                        <w:lang w:val="en-US"/>
                      </w:rPr>
                      <w:fldChar w:fldCharType="separate"/>
                    </w:r>
                    <w:r w:rsidR="008E0F8C">
                      <w:rPr>
                        <w:noProof/>
                        <w:sz w:val="18"/>
                        <w:szCs w:val="18"/>
                        <w:lang w:val="en-US"/>
                      </w:rPr>
                      <w:t>1</w:t>
                    </w:r>
                    <w:r w:rsidRPr="00D43263">
                      <w:rPr>
                        <w:sz w:val="18"/>
                        <w:szCs w:val="18"/>
                        <w:lang w:val="en-US"/>
                      </w:rPr>
                      <w:fldChar w:fldCharType="end"/>
                    </w:r>
                    <w:r>
                      <w:rPr>
                        <w:sz w:val="18"/>
                        <w:szCs w:val="18"/>
                        <w:lang w:val="en-US"/>
                      </w:rPr>
                      <w:t xml:space="preserve"> /</w:t>
                    </w:r>
                    <w:r w:rsidRPr="00D43263">
                      <w:rPr>
                        <w:sz w:val="18"/>
                        <w:szCs w:val="18"/>
                        <w:lang w:val="en-US"/>
                      </w:rPr>
                      <w:t xml:space="preserve"> </w:t>
                    </w:r>
                    <w:r w:rsidRPr="00D43263">
                      <w:rPr>
                        <w:sz w:val="18"/>
                        <w:szCs w:val="18"/>
                        <w:lang w:val="en-US"/>
                      </w:rPr>
                      <w:fldChar w:fldCharType="begin"/>
                    </w:r>
                    <w:r w:rsidRPr="00D43263">
                      <w:rPr>
                        <w:sz w:val="18"/>
                        <w:szCs w:val="18"/>
                        <w:lang w:val="en-US"/>
                      </w:rPr>
                      <w:instrText xml:space="preserve"> NUMPAGES </w:instrText>
                    </w:r>
                    <w:r w:rsidRPr="00D43263">
                      <w:rPr>
                        <w:sz w:val="18"/>
                        <w:szCs w:val="18"/>
                        <w:lang w:val="en-US"/>
                      </w:rPr>
                      <w:fldChar w:fldCharType="separate"/>
                    </w:r>
                    <w:r w:rsidR="008E0F8C">
                      <w:rPr>
                        <w:noProof/>
                        <w:sz w:val="18"/>
                        <w:szCs w:val="18"/>
                        <w:lang w:val="en-US"/>
                      </w:rPr>
                      <w:t>10</w:t>
                    </w:r>
                    <w:r w:rsidRPr="00D43263">
                      <w:rPr>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59473" w14:textId="77777777" w:rsidR="00BF19CA" w:rsidRDefault="00BF19CA" w:rsidP="00CF67C0">
      <w:r>
        <w:separator/>
      </w:r>
    </w:p>
  </w:footnote>
  <w:footnote w:type="continuationSeparator" w:id="0">
    <w:p w14:paraId="4721D276" w14:textId="77777777" w:rsidR="00BF19CA" w:rsidRDefault="00BF19CA" w:rsidP="00CF6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6022C" w14:textId="77777777" w:rsidR="00093CEC" w:rsidRDefault="009A45DB">
    <w:pPr>
      <w:pStyle w:val="Zhlav"/>
    </w:pPr>
    <w:r>
      <w:rPr>
        <w:noProof/>
        <w:lang w:eastAsia="cs-CZ"/>
      </w:rPr>
      <w:drawing>
        <wp:anchor distT="0" distB="0" distL="114300" distR="114300" simplePos="0" relativeHeight="251661824" behindDoc="1" locked="0" layoutInCell="1" allowOverlap="1" wp14:anchorId="6521E0B5" wp14:editId="5FB671CB">
          <wp:simplePos x="0" y="0"/>
          <wp:positionH relativeFrom="margin">
            <wp:align>center</wp:align>
          </wp:positionH>
          <wp:positionV relativeFrom="margin">
            <wp:align>center</wp:align>
          </wp:positionV>
          <wp:extent cx="6531610" cy="185420"/>
          <wp:effectExtent l="0" t="0" r="2540" b="5080"/>
          <wp:wrapNone/>
          <wp:docPr id="23" name="obrázek 16" descr="SPU_papirA4-zapati-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752" behindDoc="1" locked="0" layoutInCell="1" allowOverlap="1" wp14:anchorId="7538641E" wp14:editId="0F65B7E8">
          <wp:simplePos x="0" y="0"/>
          <wp:positionH relativeFrom="margin">
            <wp:align>center</wp:align>
          </wp:positionH>
          <wp:positionV relativeFrom="margin">
            <wp:align>center</wp:align>
          </wp:positionV>
          <wp:extent cx="5388610" cy="8086725"/>
          <wp:effectExtent l="0" t="0" r="2540" b="9525"/>
          <wp:wrapNone/>
          <wp:docPr id="24" name="obrázek 13" descr="SPU_papirA4-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8A0E29">
      <w:rPr>
        <w:noProof/>
        <w:lang w:val="en-US"/>
      </w:rPr>
      <w:pict w14:anchorId="4C4CED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8752;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DCEA" w14:textId="77777777" w:rsidR="00093CEC" w:rsidRDefault="00A74462" w:rsidP="0073640E">
    <w:pPr>
      <w:pStyle w:val="Zhlav"/>
      <w:tabs>
        <w:tab w:val="left" w:pos="7290"/>
      </w:tabs>
    </w:pPr>
    <w:r>
      <w:rPr>
        <w:rFonts w:cs="Arial"/>
        <w:b/>
        <w:bCs/>
        <w:noProof/>
        <w:color w:val="13A54D"/>
        <w:sz w:val="28"/>
        <w:szCs w:val="28"/>
        <w:lang w:eastAsia="cs-CZ"/>
      </w:rPr>
      <mc:AlternateContent>
        <mc:Choice Requires="wps">
          <w:drawing>
            <wp:anchor distT="0" distB="0" distL="114300" distR="114300" simplePos="0" relativeHeight="251655680" behindDoc="0" locked="0" layoutInCell="1" allowOverlap="1" wp14:anchorId="52529D09" wp14:editId="465F4DB7">
              <wp:simplePos x="0" y="0"/>
              <wp:positionH relativeFrom="column">
                <wp:posOffset>3947795</wp:posOffset>
              </wp:positionH>
              <wp:positionV relativeFrom="paragraph">
                <wp:posOffset>-390525</wp:posOffset>
              </wp:positionV>
              <wp:extent cx="1809750" cy="24955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809750" cy="24955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8C90AD" w14:textId="77777777" w:rsidR="00431128" w:rsidRPr="005A6A95" w:rsidRDefault="00A74462" w:rsidP="00A74462">
                          <w:pPr>
                            <w:rPr>
                              <w:rFonts w:cs="Arial"/>
                            </w:rPr>
                          </w:pPr>
                          <w:r>
                            <w:rPr>
                              <w:rFonts w:cs="Arial"/>
                            </w:rPr>
                            <w:t xml:space="preserve"> </w:t>
                          </w:r>
                          <w:r>
                            <w:rPr>
                              <w:rFonts w:cs="Arial"/>
                            </w:rPr>
                            <w:tab/>
                          </w:r>
                          <w:r>
                            <w:rPr>
                              <w:rFonts w:cs="Arial"/>
                            </w:rPr>
                            <w:tab/>
                          </w: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2529D09" id="_x0000_t202" coordsize="21600,21600" o:spt="202" path="m,l,21600r21600,l21600,xe">
              <v:stroke joinstyle="miter"/>
              <v:path gradientshapeok="t" o:connecttype="rect"/>
            </v:shapetype>
            <v:shape id="Text Box 4" o:spid="_x0000_s1027" type="#_x0000_t202" style="position:absolute;margin-left:310.85pt;margin-top:-30.75pt;width:142.5pt;height:19.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" filled="f" stroked="f">
              <v:textbox inset="0,0">
                <w:txbxContent>
                  <w:p w14:paraId="748C90AD" w14:textId="77777777" w:rsidR="00431128" w:rsidRPr="005A6A95" w:rsidRDefault="00A74462" w:rsidP="00A74462">
                    <w:pPr>
                      <w:rPr>
                        <w:rFonts w:cs="Arial"/>
                      </w:rPr>
                    </w:pPr>
                    <w:r>
                      <w:rPr>
                        <w:rFonts w:cs="Arial"/>
                      </w:rPr>
                      <w:t xml:space="preserve"> </w:t>
                    </w:r>
                    <w:r>
                      <w:rPr>
                        <w:rFonts w:cs="Arial"/>
                      </w:rPr>
                      <w:tab/>
                    </w:r>
                    <w:r>
                      <w:rPr>
                        <w:rFonts w:cs="Arial"/>
                      </w:rPr>
                      <w:tab/>
                    </w:r>
                  </w:p>
                </w:txbxContent>
              </v:textbox>
              <w10:wrap type="square"/>
            </v:shape>
          </w:pict>
        </mc:Fallback>
      </mc:AlternateContent>
    </w:r>
    <w:r w:rsidR="008A0E29">
      <w:rPr>
        <w:noProof/>
        <w:lang w:val="en-US"/>
      </w:rPr>
      <w:pict w14:anchorId="51355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8.7pt;margin-top:-33.75pt;width:471.75pt;height:775.5pt;z-index:-251656704;mso-wrap-edited:f;mso-position-horizontal-relative:margin;mso-position-vertical-relative:margin" stroked="t" strokecolor="white [3212]">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09D4"/>
    <w:multiLevelType w:val="hybridMultilevel"/>
    <w:tmpl w:val="A5DA2E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D9C3A58"/>
    <w:multiLevelType w:val="hybridMultilevel"/>
    <w:tmpl w:val="DA74263E"/>
    <w:lvl w:ilvl="0" w:tplc="955093A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AF3F44"/>
    <w:multiLevelType w:val="hybridMultilevel"/>
    <w:tmpl w:val="521E9E06"/>
    <w:lvl w:ilvl="0" w:tplc="4218F77E">
      <w:start w:val="5"/>
      <w:numFmt w:val="bullet"/>
      <w:lvlText w:val="−"/>
      <w:lvlJc w:val="left"/>
      <w:pPr>
        <w:ind w:left="927" w:hanging="360"/>
      </w:pPr>
      <w:rPr>
        <w:rFonts w:ascii="Arial" w:eastAsiaTheme="minorEastAsia"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21A871EE"/>
    <w:multiLevelType w:val="multilevel"/>
    <w:tmpl w:val="0B949C38"/>
    <w:lvl w:ilvl="0">
      <w:start w:val="1"/>
      <w:numFmt w:val="decimal"/>
      <w:pStyle w:val="Nadpis1"/>
      <w:lvlText w:val="%1."/>
      <w:lvlJc w:val="left"/>
      <w:pPr>
        <w:ind w:left="360" w:hanging="360"/>
      </w:pPr>
    </w:lvl>
    <w:lvl w:ilvl="1">
      <w:start w:val="1"/>
      <w:numFmt w:val="decimal"/>
      <w:pStyle w:val="Nadpis2"/>
      <w:lvlText w:val="%1.%2."/>
      <w:lvlJc w:val="left"/>
      <w:pPr>
        <w:ind w:left="1000"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eznam111"/>
      <w:lvlText w:val="%1.%2.%3."/>
      <w:lvlJc w:val="left"/>
      <w:pPr>
        <w:ind w:left="122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A53C3"/>
    <w:multiLevelType w:val="hybridMultilevel"/>
    <w:tmpl w:val="3F32F0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EBF048C"/>
    <w:multiLevelType w:val="hybridMultilevel"/>
    <w:tmpl w:val="90E87DC2"/>
    <w:lvl w:ilvl="0" w:tplc="700AA9EE">
      <w:start w:val="5"/>
      <w:numFmt w:val="bullet"/>
      <w:lvlText w:val="−"/>
      <w:lvlJc w:val="left"/>
      <w:pPr>
        <w:ind w:left="927" w:hanging="360"/>
      </w:pPr>
      <w:rPr>
        <w:rFonts w:ascii="Arial" w:eastAsiaTheme="minorEastAsia"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35344590"/>
    <w:multiLevelType w:val="hybridMultilevel"/>
    <w:tmpl w:val="19B6D3CE"/>
    <w:lvl w:ilvl="0" w:tplc="1EFC3428">
      <w:start w:val="1"/>
      <w:numFmt w:val="bullet"/>
      <w:lvlText w:val=""/>
      <w:lvlJc w:val="left"/>
      <w:pPr>
        <w:ind w:left="1211"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3E93595F"/>
    <w:multiLevelType w:val="hybridMultilevel"/>
    <w:tmpl w:val="BF4EB6B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46531039"/>
    <w:multiLevelType w:val="hybridMultilevel"/>
    <w:tmpl w:val="FEDE27E8"/>
    <w:lvl w:ilvl="0" w:tplc="9A4CCCDE">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0" w15:restartNumberingAfterBreak="0">
    <w:nsid w:val="4BBC3232"/>
    <w:multiLevelType w:val="hybridMultilevel"/>
    <w:tmpl w:val="3A649890"/>
    <w:lvl w:ilvl="0" w:tplc="556C73BA">
      <w:start w:val="5"/>
      <w:numFmt w:val="bullet"/>
      <w:lvlText w:val="−"/>
      <w:lvlJc w:val="left"/>
      <w:pPr>
        <w:ind w:left="927" w:hanging="360"/>
      </w:pPr>
      <w:rPr>
        <w:rFonts w:ascii="Arial" w:eastAsiaTheme="minorEastAsia"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504A6F04"/>
    <w:multiLevelType w:val="hybridMultilevel"/>
    <w:tmpl w:val="D7345E64"/>
    <w:lvl w:ilvl="0" w:tplc="D884BCBA">
      <w:start w:val="2"/>
      <w:numFmt w:val="upp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5933333"/>
    <w:multiLevelType w:val="hybridMultilevel"/>
    <w:tmpl w:val="A15CAF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7371047"/>
    <w:multiLevelType w:val="hybridMultilevel"/>
    <w:tmpl w:val="57BEA1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57B916C8"/>
    <w:multiLevelType w:val="hybridMultilevel"/>
    <w:tmpl w:val="9C7CB854"/>
    <w:lvl w:ilvl="0" w:tplc="1B7A58D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599C0BCD"/>
    <w:multiLevelType w:val="hybridMultilevel"/>
    <w:tmpl w:val="856ADBDC"/>
    <w:lvl w:ilvl="0" w:tplc="222082B2">
      <w:start w:val="1"/>
      <w:numFmt w:val="bullet"/>
      <w:pStyle w:val="seznamodr1uroven"/>
      <w:lvlText w:val=""/>
      <w:lvlJc w:val="left"/>
      <w:pPr>
        <w:ind w:left="2771"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DC76C1E"/>
    <w:multiLevelType w:val="hybridMultilevel"/>
    <w:tmpl w:val="F52078CA"/>
    <w:lvl w:ilvl="0" w:tplc="F18290DA">
      <w:numFmt w:val="bullet"/>
      <w:lvlText w:val="-"/>
      <w:lvlJc w:val="left"/>
      <w:pPr>
        <w:ind w:left="1145" w:hanging="360"/>
      </w:pPr>
      <w:rPr>
        <w:rFonts w:ascii="Times New Roman" w:eastAsia="Times New Roman" w:hAnsi="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7" w15:restartNumberingAfterBreak="0">
    <w:nsid w:val="61432031"/>
    <w:multiLevelType w:val="hybridMultilevel"/>
    <w:tmpl w:val="1DC09F9C"/>
    <w:lvl w:ilvl="0" w:tplc="249E0868">
      <w:start w:val="1"/>
      <w:numFmt w:val="lowerLetter"/>
      <w:pStyle w:val="seznam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C407B5"/>
    <w:multiLevelType w:val="hybridMultilevel"/>
    <w:tmpl w:val="D932F9F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7FC3246B"/>
    <w:multiLevelType w:val="hybridMultilevel"/>
    <w:tmpl w:val="C3960E24"/>
    <w:lvl w:ilvl="0" w:tplc="D1B8FC20">
      <w:start w:val="3"/>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1465689">
    <w:abstractNumId w:val="11"/>
  </w:num>
  <w:num w:numId="2" w16cid:durableId="1996184778">
    <w:abstractNumId w:val="2"/>
  </w:num>
  <w:num w:numId="3" w16cid:durableId="1416244246">
    <w:abstractNumId w:val="4"/>
  </w:num>
  <w:num w:numId="4" w16cid:durableId="646859885">
    <w:abstractNumId w:val="17"/>
  </w:num>
  <w:num w:numId="5" w16cid:durableId="1769229578">
    <w:abstractNumId w:val="14"/>
  </w:num>
  <w:num w:numId="6" w16cid:durableId="1482966412">
    <w:abstractNumId w:val="19"/>
  </w:num>
  <w:num w:numId="7" w16cid:durableId="1168402028">
    <w:abstractNumId w:val="15"/>
  </w:num>
  <w:num w:numId="8" w16cid:durableId="997852714">
    <w:abstractNumId w:val="8"/>
  </w:num>
  <w:num w:numId="9" w16cid:durableId="860901432">
    <w:abstractNumId w:val="7"/>
  </w:num>
  <w:num w:numId="10" w16cid:durableId="1992127757">
    <w:abstractNumId w:val="18"/>
  </w:num>
  <w:num w:numId="11" w16cid:durableId="1161584173">
    <w:abstractNumId w:val="4"/>
  </w:num>
  <w:num w:numId="12" w16cid:durableId="622423810">
    <w:abstractNumId w:val="4"/>
  </w:num>
  <w:num w:numId="13" w16cid:durableId="32776235">
    <w:abstractNumId w:val="4"/>
  </w:num>
  <w:num w:numId="14" w16cid:durableId="1737820540">
    <w:abstractNumId w:val="4"/>
  </w:num>
  <w:num w:numId="15" w16cid:durableId="941180583">
    <w:abstractNumId w:val="4"/>
  </w:num>
  <w:num w:numId="16" w16cid:durableId="427433212">
    <w:abstractNumId w:val="4"/>
  </w:num>
  <w:num w:numId="17" w16cid:durableId="821048886">
    <w:abstractNumId w:val="4"/>
  </w:num>
  <w:num w:numId="18" w16cid:durableId="665207102">
    <w:abstractNumId w:val="4"/>
  </w:num>
  <w:num w:numId="19" w16cid:durableId="1199244089">
    <w:abstractNumId w:val="4"/>
  </w:num>
  <w:num w:numId="20" w16cid:durableId="2132936186">
    <w:abstractNumId w:val="12"/>
  </w:num>
  <w:num w:numId="21" w16cid:durableId="1422338051">
    <w:abstractNumId w:val="1"/>
  </w:num>
  <w:num w:numId="22" w16cid:durableId="2014139319">
    <w:abstractNumId w:val="16"/>
  </w:num>
  <w:num w:numId="23" w16cid:durableId="1854176546">
    <w:abstractNumId w:val="13"/>
  </w:num>
  <w:num w:numId="24" w16cid:durableId="1185092088">
    <w:abstractNumId w:val="9"/>
  </w:num>
  <w:num w:numId="25" w16cid:durableId="1506244380">
    <w:abstractNumId w:val="4"/>
  </w:num>
  <w:num w:numId="26" w16cid:durableId="1093866411">
    <w:abstractNumId w:val="4"/>
  </w:num>
  <w:num w:numId="27" w16cid:durableId="120879734">
    <w:abstractNumId w:val="4"/>
  </w:num>
  <w:num w:numId="28" w16cid:durableId="392430533">
    <w:abstractNumId w:val="4"/>
  </w:num>
  <w:num w:numId="29" w16cid:durableId="1937248180">
    <w:abstractNumId w:val="4"/>
  </w:num>
  <w:num w:numId="30" w16cid:durableId="727188627">
    <w:abstractNumId w:val="4"/>
  </w:num>
  <w:num w:numId="31" w16cid:durableId="275683">
    <w:abstractNumId w:val="5"/>
  </w:num>
  <w:num w:numId="32" w16cid:durableId="942610782">
    <w:abstractNumId w:val="0"/>
  </w:num>
  <w:num w:numId="33" w16cid:durableId="1617712350">
    <w:abstractNumId w:val="4"/>
  </w:num>
  <w:num w:numId="34" w16cid:durableId="1553423255">
    <w:abstractNumId w:val="4"/>
  </w:num>
  <w:num w:numId="35" w16cid:durableId="1628663264">
    <w:abstractNumId w:val="4"/>
  </w:num>
  <w:num w:numId="36" w16cid:durableId="2007321392">
    <w:abstractNumId w:val="4"/>
  </w:num>
  <w:num w:numId="37" w16cid:durableId="1874264792">
    <w:abstractNumId w:val="6"/>
  </w:num>
  <w:num w:numId="38" w16cid:durableId="1269774213">
    <w:abstractNumId w:val="10"/>
  </w:num>
  <w:num w:numId="39" w16cid:durableId="3930456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4FB"/>
    <w:rsid w:val="000028BB"/>
    <w:rsid w:val="00003394"/>
    <w:rsid w:val="00003A97"/>
    <w:rsid w:val="0001172B"/>
    <w:rsid w:val="0001607B"/>
    <w:rsid w:val="00016433"/>
    <w:rsid w:val="000171AE"/>
    <w:rsid w:val="00021556"/>
    <w:rsid w:val="00023819"/>
    <w:rsid w:val="00027487"/>
    <w:rsid w:val="00031D5A"/>
    <w:rsid w:val="00032274"/>
    <w:rsid w:val="0003417E"/>
    <w:rsid w:val="00040803"/>
    <w:rsid w:val="00040FA6"/>
    <w:rsid w:val="00045F30"/>
    <w:rsid w:val="00046855"/>
    <w:rsid w:val="00046C5E"/>
    <w:rsid w:val="0004731A"/>
    <w:rsid w:val="00047F03"/>
    <w:rsid w:val="00052690"/>
    <w:rsid w:val="00052EEB"/>
    <w:rsid w:val="0005310E"/>
    <w:rsid w:val="0005327B"/>
    <w:rsid w:val="000628E1"/>
    <w:rsid w:val="00063E58"/>
    <w:rsid w:val="0007024D"/>
    <w:rsid w:val="00075152"/>
    <w:rsid w:val="000756E2"/>
    <w:rsid w:val="00075980"/>
    <w:rsid w:val="00075F63"/>
    <w:rsid w:val="00077375"/>
    <w:rsid w:val="00080E6E"/>
    <w:rsid w:val="00087FD2"/>
    <w:rsid w:val="00091083"/>
    <w:rsid w:val="00093CEC"/>
    <w:rsid w:val="00094F57"/>
    <w:rsid w:val="000A4C67"/>
    <w:rsid w:val="000A612C"/>
    <w:rsid w:val="000B0982"/>
    <w:rsid w:val="000B1275"/>
    <w:rsid w:val="000B146B"/>
    <w:rsid w:val="000B46FD"/>
    <w:rsid w:val="000C1D67"/>
    <w:rsid w:val="000C3927"/>
    <w:rsid w:val="000C4566"/>
    <w:rsid w:val="000C4A03"/>
    <w:rsid w:val="000C56BB"/>
    <w:rsid w:val="000C5A75"/>
    <w:rsid w:val="000D1732"/>
    <w:rsid w:val="000D2DDF"/>
    <w:rsid w:val="000D357B"/>
    <w:rsid w:val="000D5489"/>
    <w:rsid w:val="000D63E2"/>
    <w:rsid w:val="000D773E"/>
    <w:rsid w:val="000E101F"/>
    <w:rsid w:val="000E1DB5"/>
    <w:rsid w:val="000E5681"/>
    <w:rsid w:val="000F05C1"/>
    <w:rsid w:val="000F167B"/>
    <w:rsid w:val="000F2502"/>
    <w:rsid w:val="000F390E"/>
    <w:rsid w:val="000F41EE"/>
    <w:rsid w:val="000F4AAD"/>
    <w:rsid w:val="000F76B9"/>
    <w:rsid w:val="00101493"/>
    <w:rsid w:val="00101AB0"/>
    <w:rsid w:val="00110D60"/>
    <w:rsid w:val="00111462"/>
    <w:rsid w:val="001118AE"/>
    <w:rsid w:val="00112D2B"/>
    <w:rsid w:val="00122D92"/>
    <w:rsid w:val="00122E09"/>
    <w:rsid w:val="00124C48"/>
    <w:rsid w:val="0013399A"/>
    <w:rsid w:val="00143D18"/>
    <w:rsid w:val="00145726"/>
    <w:rsid w:val="00150F22"/>
    <w:rsid w:val="00153CCA"/>
    <w:rsid w:val="0015638D"/>
    <w:rsid w:val="00160C15"/>
    <w:rsid w:val="00161B2A"/>
    <w:rsid w:val="00162010"/>
    <w:rsid w:val="001627D1"/>
    <w:rsid w:val="001704FA"/>
    <w:rsid w:val="00171C23"/>
    <w:rsid w:val="001722DA"/>
    <w:rsid w:val="00174160"/>
    <w:rsid w:val="00175BA2"/>
    <w:rsid w:val="00175E70"/>
    <w:rsid w:val="0018201F"/>
    <w:rsid w:val="0018362B"/>
    <w:rsid w:val="00185654"/>
    <w:rsid w:val="0018606E"/>
    <w:rsid w:val="00193749"/>
    <w:rsid w:val="00194285"/>
    <w:rsid w:val="001958FA"/>
    <w:rsid w:val="001959D6"/>
    <w:rsid w:val="001A639B"/>
    <w:rsid w:val="001A639C"/>
    <w:rsid w:val="001B03C1"/>
    <w:rsid w:val="001B3C16"/>
    <w:rsid w:val="001B63BC"/>
    <w:rsid w:val="001C0C59"/>
    <w:rsid w:val="001C25BD"/>
    <w:rsid w:val="001C386A"/>
    <w:rsid w:val="001C7CE4"/>
    <w:rsid w:val="001D0327"/>
    <w:rsid w:val="001D1400"/>
    <w:rsid w:val="001D6B36"/>
    <w:rsid w:val="001D6BE7"/>
    <w:rsid w:val="001E4558"/>
    <w:rsid w:val="001E49BD"/>
    <w:rsid w:val="001E4A32"/>
    <w:rsid w:val="001F133B"/>
    <w:rsid w:val="001F3CD0"/>
    <w:rsid w:val="001F3FE6"/>
    <w:rsid w:val="001F4D91"/>
    <w:rsid w:val="001F50F4"/>
    <w:rsid w:val="0020084B"/>
    <w:rsid w:val="002030AE"/>
    <w:rsid w:val="00204493"/>
    <w:rsid w:val="0020547C"/>
    <w:rsid w:val="00217AF0"/>
    <w:rsid w:val="0022261E"/>
    <w:rsid w:val="00223D8C"/>
    <w:rsid w:val="00224AFB"/>
    <w:rsid w:val="00232769"/>
    <w:rsid w:val="002374C5"/>
    <w:rsid w:val="00240FF3"/>
    <w:rsid w:val="0024224E"/>
    <w:rsid w:val="002428FB"/>
    <w:rsid w:val="00242FE9"/>
    <w:rsid w:val="0024532A"/>
    <w:rsid w:val="002519CE"/>
    <w:rsid w:val="00252B87"/>
    <w:rsid w:val="00253D00"/>
    <w:rsid w:val="00255072"/>
    <w:rsid w:val="002563D9"/>
    <w:rsid w:val="002569A1"/>
    <w:rsid w:val="0026089A"/>
    <w:rsid w:val="00260ABB"/>
    <w:rsid w:val="00262460"/>
    <w:rsid w:val="0026246D"/>
    <w:rsid w:val="00262AFF"/>
    <w:rsid w:val="00263946"/>
    <w:rsid w:val="0026684B"/>
    <w:rsid w:val="0027058D"/>
    <w:rsid w:val="002713DB"/>
    <w:rsid w:val="002724B1"/>
    <w:rsid w:val="00273861"/>
    <w:rsid w:val="002749D9"/>
    <w:rsid w:val="00280518"/>
    <w:rsid w:val="002808A9"/>
    <w:rsid w:val="00282287"/>
    <w:rsid w:val="002834BF"/>
    <w:rsid w:val="00284B46"/>
    <w:rsid w:val="00290DFF"/>
    <w:rsid w:val="00291466"/>
    <w:rsid w:val="002928FD"/>
    <w:rsid w:val="00292F40"/>
    <w:rsid w:val="0029530E"/>
    <w:rsid w:val="00296CD2"/>
    <w:rsid w:val="00297E73"/>
    <w:rsid w:val="002A5ABB"/>
    <w:rsid w:val="002B16B4"/>
    <w:rsid w:val="002B17D4"/>
    <w:rsid w:val="002B692F"/>
    <w:rsid w:val="002B7AB6"/>
    <w:rsid w:val="002C1FA2"/>
    <w:rsid w:val="002C2F7F"/>
    <w:rsid w:val="002D08B0"/>
    <w:rsid w:val="002D16B8"/>
    <w:rsid w:val="002D415A"/>
    <w:rsid w:val="002D5FCB"/>
    <w:rsid w:val="002E04F3"/>
    <w:rsid w:val="002E34AF"/>
    <w:rsid w:val="002E55FC"/>
    <w:rsid w:val="002E5E0A"/>
    <w:rsid w:val="002E6708"/>
    <w:rsid w:val="002E6D0B"/>
    <w:rsid w:val="002E7458"/>
    <w:rsid w:val="002F1224"/>
    <w:rsid w:val="002F15E9"/>
    <w:rsid w:val="002F1A26"/>
    <w:rsid w:val="002F3032"/>
    <w:rsid w:val="002F4B24"/>
    <w:rsid w:val="002F6AE0"/>
    <w:rsid w:val="0030086C"/>
    <w:rsid w:val="00307BA9"/>
    <w:rsid w:val="00310752"/>
    <w:rsid w:val="00314765"/>
    <w:rsid w:val="00317036"/>
    <w:rsid w:val="003209D3"/>
    <w:rsid w:val="00321189"/>
    <w:rsid w:val="00322792"/>
    <w:rsid w:val="00323240"/>
    <w:rsid w:val="003255B3"/>
    <w:rsid w:val="00326917"/>
    <w:rsid w:val="00326C0D"/>
    <w:rsid w:val="003306D7"/>
    <w:rsid w:val="0033349F"/>
    <w:rsid w:val="003348A3"/>
    <w:rsid w:val="003348E1"/>
    <w:rsid w:val="003425E2"/>
    <w:rsid w:val="003466E2"/>
    <w:rsid w:val="00350944"/>
    <w:rsid w:val="00351C82"/>
    <w:rsid w:val="003522C1"/>
    <w:rsid w:val="00355EAE"/>
    <w:rsid w:val="00362E57"/>
    <w:rsid w:val="0036421A"/>
    <w:rsid w:val="00365F92"/>
    <w:rsid w:val="00371B2A"/>
    <w:rsid w:val="00371D54"/>
    <w:rsid w:val="00372D6F"/>
    <w:rsid w:val="00372F8C"/>
    <w:rsid w:val="00373B3D"/>
    <w:rsid w:val="00374759"/>
    <w:rsid w:val="003758A8"/>
    <w:rsid w:val="00376743"/>
    <w:rsid w:val="003768E1"/>
    <w:rsid w:val="003814D4"/>
    <w:rsid w:val="00384EC9"/>
    <w:rsid w:val="003913C1"/>
    <w:rsid w:val="00391877"/>
    <w:rsid w:val="0039518E"/>
    <w:rsid w:val="003A6681"/>
    <w:rsid w:val="003A6FFD"/>
    <w:rsid w:val="003B2F8D"/>
    <w:rsid w:val="003B5C70"/>
    <w:rsid w:val="003C0B84"/>
    <w:rsid w:val="003C30DD"/>
    <w:rsid w:val="003C3629"/>
    <w:rsid w:val="003C3F4A"/>
    <w:rsid w:val="003C7547"/>
    <w:rsid w:val="003D18D1"/>
    <w:rsid w:val="003D1E7E"/>
    <w:rsid w:val="003D26B8"/>
    <w:rsid w:val="003D2854"/>
    <w:rsid w:val="003D7464"/>
    <w:rsid w:val="003E1D5D"/>
    <w:rsid w:val="003E2A5D"/>
    <w:rsid w:val="003E57D5"/>
    <w:rsid w:val="003F193A"/>
    <w:rsid w:val="003F51A2"/>
    <w:rsid w:val="003F609D"/>
    <w:rsid w:val="003F6EF8"/>
    <w:rsid w:val="00400413"/>
    <w:rsid w:val="00401309"/>
    <w:rsid w:val="0040198A"/>
    <w:rsid w:val="00402AFA"/>
    <w:rsid w:val="004034A5"/>
    <w:rsid w:val="00403691"/>
    <w:rsid w:val="004044BA"/>
    <w:rsid w:val="0040593D"/>
    <w:rsid w:val="00406C13"/>
    <w:rsid w:val="00406D0E"/>
    <w:rsid w:val="00411E8F"/>
    <w:rsid w:val="00412212"/>
    <w:rsid w:val="004133E8"/>
    <w:rsid w:val="0041388D"/>
    <w:rsid w:val="00416E9E"/>
    <w:rsid w:val="0042248F"/>
    <w:rsid w:val="00424A0A"/>
    <w:rsid w:val="00424A39"/>
    <w:rsid w:val="00426C6C"/>
    <w:rsid w:val="00427B3C"/>
    <w:rsid w:val="00431128"/>
    <w:rsid w:val="00431C37"/>
    <w:rsid w:val="004326A6"/>
    <w:rsid w:val="004326D3"/>
    <w:rsid w:val="00435A4A"/>
    <w:rsid w:val="00444359"/>
    <w:rsid w:val="00445D9E"/>
    <w:rsid w:val="00445E25"/>
    <w:rsid w:val="00454605"/>
    <w:rsid w:val="00454D4F"/>
    <w:rsid w:val="00456926"/>
    <w:rsid w:val="00456A76"/>
    <w:rsid w:val="00462560"/>
    <w:rsid w:val="0046408C"/>
    <w:rsid w:val="00464282"/>
    <w:rsid w:val="0046683F"/>
    <w:rsid w:val="00466A08"/>
    <w:rsid w:val="004701C5"/>
    <w:rsid w:val="00471E0A"/>
    <w:rsid w:val="00472306"/>
    <w:rsid w:val="00477F3E"/>
    <w:rsid w:val="00487147"/>
    <w:rsid w:val="00490D50"/>
    <w:rsid w:val="004912D4"/>
    <w:rsid w:val="004A1DCB"/>
    <w:rsid w:val="004A21A3"/>
    <w:rsid w:val="004A5041"/>
    <w:rsid w:val="004B126E"/>
    <w:rsid w:val="004B4E82"/>
    <w:rsid w:val="004B7D85"/>
    <w:rsid w:val="004B7F45"/>
    <w:rsid w:val="004C5A05"/>
    <w:rsid w:val="004D074E"/>
    <w:rsid w:val="004D0FF3"/>
    <w:rsid w:val="004D269B"/>
    <w:rsid w:val="004D2842"/>
    <w:rsid w:val="004D2B33"/>
    <w:rsid w:val="004D36C6"/>
    <w:rsid w:val="004D3C47"/>
    <w:rsid w:val="004D3F6C"/>
    <w:rsid w:val="004D4E4C"/>
    <w:rsid w:val="004E2C8F"/>
    <w:rsid w:val="004E6121"/>
    <w:rsid w:val="004E73E6"/>
    <w:rsid w:val="004E76B7"/>
    <w:rsid w:val="004F0972"/>
    <w:rsid w:val="004F0AAC"/>
    <w:rsid w:val="004F1D94"/>
    <w:rsid w:val="004F7E18"/>
    <w:rsid w:val="00500B0B"/>
    <w:rsid w:val="0050276A"/>
    <w:rsid w:val="00505F29"/>
    <w:rsid w:val="0051005A"/>
    <w:rsid w:val="00513DB0"/>
    <w:rsid w:val="00514043"/>
    <w:rsid w:val="0051589B"/>
    <w:rsid w:val="00523A7D"/>
    <w:rsid w:val="0052642D"/>
    <w:rsid w:val="0053389B"/>
    <w:rsid w:val="00533C20"/>
    <w:rsid w:val="00535E95"/>
    <w:rsid w:val="005371CA"/>
    <w:rsid w:val="005378E6"/>
    <w:rsid w:val="0054367A"/>
    <w:rsid w:val="00546C4D"/>
    <w:rsid w:val="00547CE0"/>
    <w:rsid w:val="005504F2"/>
    <w:rsid w:val="00553F97"/>
    <w:rsid w:val="005600B1"/>
    <w:rsid w:val="00562585"/>
    <w:rsid w:val="00563D1A"/>
    <w:rsid w:val="00564FD9"/>
    <w:rsid w:val="00570DC3"/>
    <w:rsid w:val="00572D08"/>
    <w:rsid w:val="00573C97"/>
    <w:rsid w:val="005742F1"/>
    <w:rsid w:val="00583410"/>
    <w:rsid w:val="0058481F"/>
    <w:rsid w:val="00587632"/>
    <w:rsid w:val="005961B8"/>
    <w:rsid w:val="005A61AB"/>
    <w:rsid w:val="005A6A95"/>
    <w:rsid w:val="005A7931"/>
    <w:rsid w:val="005B1FB8"/>
    <w:rsid w:val="005B37FB"/>
    <w:rsid w:val="005B3951"/>
    <w:rsid w:val="005B480B"/>
    <w:rsid w:val="005B4901"/>
    <w:rsid w:val="005C688C"/>
    <w:rsid w:val="005D0B18"/>
    <w:rsid w:val="005D2F5C"/>
    <w:rsid w:val="005D492F"/>
    <w:rsid w:val="005D6DD6"/>
    <w:rsid w:val="005D77B5"/>
    <w:rsid w:val="005E4A12"/>
    <w:rsid w:val="005F0115"/>
    <w:rsid w:val="005F58C6"/>
    <w:rsid w:val="005F5D94"/>
    <w:rsid w:val="006010AD"/>
    <w:rsid w:val="0060242A"/>
    <w:rsid w:val="0060315B"/>
    <w:rsid w:val="006065AB"/>
    <w:rsid w:val="0061238A"/>
    <w:rsid w:val="00612857"/>
    <w:rsid w:val="00613330"/>
    <w:rsid w:val="00614C35"/>
    <w:rsid w:val="00615CEE"/>
    <w:rsid w:val="00615E9E"/>
    <w:rsid w:val="0061656F"/>
    <w:rsid w:val="006207DC"/>
    <w:rsid w:val="00620E33"/>
    <w:rsid w:val="00621106"/>
    <w:rsid w:val="00621643"/>
    <w:rsid w:val="0062258F"/>
    <w:rsid w:val="00623131"/>
    <w:rsid w:val="00623725"/>
    <w:rsid w:val="00626C52"/>
    <w:rsid w:val="00627F8A"/>
    <w:rsid w:val="006307CE"/>
    <w:rsid w:val="0063090A"/>
    <w:rsid w:val="00630BD7"/>
    <w:rsid w:val="00633CB9"/>
    <w:rsid w:val="00635C2C"/>
    <w:rsid w:val="00637525"/>
    <w:rsid w:val="00637806"/>
    <w:rsid w:val="00640BCE"/>
    <w:rsid w:val="00641BEA"/>
    <w:rsid w:val="00641E39"/>
    <w:rsid w:val="0064327B"/>
    <w:rsid w:val="00645FB2"/>
    <w:rsid w:val="006477A3"/>
    <w:rsid w:val="00650E2F"/>
    <w:rsid w:val="00651E44"/>
    <w:rsid w:val="00653146"/>
    <w:rsid w:val="00653441"/>
    <w:rsid w:val="006545F9"/>
    <w:rsid w:val="00655310"/>
    <w:rsid w:val="00655615"/>
    <w:rsid w:val="00657086"/>
    <w:rsid w:val="00660FD5"/>
    <w:rsid w:val="00665E85"/>
    <w:rsid w:val="0066660A"/>
    <w:rsid w:val="0067245C"/>
    <w:rsid w:val="00674F1F"/>
    <w:rsid w:val="00676235"/>
    <w:rsid w:val="00676B56"/>
    <w:rsid w:val="00682CEF"/>
    <w:rsid w:val="0068339B"/>
    <w:rsid w:val="00684BF5"/>
    <w:rsid w:val="0069084B"/>
    <w:rsid w:val="00691A31"/>
    <w:rsid w:val="006A00B1"/>
    <w:rsid w:val="006A0EF4"/>
    <w:rsid w:val="006A1C97"/>
    <w:rsid w:val="006A2B41"/>
    <w:rsid w:val="006A565A"/>
    <w:rsid w:val="006A6B47"/>
    <w:rsid w:val="006A73E1"/>
    <w:rsid w:val="006B10DB"/>
    <w:rsid w:val="006B1C1B"/>
    <w:rsid w:val="006B20C5"/>
    <w:rsid w:val="006B488D"/>
    <w:rsid w:val="006B76A1"/>
    <w:rsid w:val="006B7BE8"/>
    <w:rsid w:val="006C008F"/>
    <w:rsid w:val="006C17B1"/>
    <w:rsid w:val="006C1D2A"/>
    <w:rsid w:val="006D0F94"/>
    <w:rsid w:val="006D28E4"/>
    <w:rsid w:val="006D3E69"/>
    <w:rsid w:val="006D490A"/>
    <w:rsid w:val="006E68E8"/>
    <w:rsid w:val="006F0D64"/>
    <w:rsid w:val="006F38F5"/>
    <w:rsid w:val="006F3F30"/>
    <w:rsid w:val="006F4758"/>
    <w:rsid w:val="006F52E2"/>
    <w:rsid w:val="006F7FE6"/>
    <w:rsid w:val="007009F0"/>
    <w:rsid w:val="00703926"/>
    <w:rsid w:val="00705D2B"/>
    <w:rsid w:val="00707102"/>
    <w:rsid w:val="00710DA9"/>
    <w:rsid w:val="007116AD"/>
    <w:rsid w:val="0072069B"/>
    <w:rsid w:val="00720D9E"/>
    <w:rsid w:val="0073640E"/>
    <w:rsid w:val="0073673D"/>
    <w:rsid w:val="0073680F"/>
    <w:rsid w:val="007413E9"/>
    <w:rsid w:val="00741F0B"/>
    <w:rsid w:val="00742D9B"/>
    <w:rsid w:val="00746168"/>
    <w:rsid w:val="007525F3"/>
    <w:rsid w:val="00753E9E"/>
    <w:rsid w:val="00754543"/>
    <w:rsid w:val="00757BC8"/>
    <w:rsid w:val="0076003B"/>
    <w:rsid w:val="00761F5A"/>
    <w:rsid w:val="0076345E"/>
    <w:rsid w:val="00763F18"/>
    <w:rsid w:val="007668C7"/>
    <w:rsid w:val="00766EC3"/>
    <w:rsid w:val="007675F1"/>
    <w:rsid w:val="00777BF0"/>
    <w:rsid w:val="007808E2"/>
    <w:rsid w:val="00782592"/>
    <w:rsid w:val="007875B2"/>
    <w:rsid w:val="00792152"/>
    <w:rsid w:val="0079261C"/>
    <w:rsid w:val="00793451"/>
    <w:rsid w:val="007945D0"/>
    <w:rsid w:val="00795B81"/>
    <w:rsid w:val="00796C5A"/>
    <w:rsid w:val="00796F76"/>
    <w:rsid w:val="0079746C"/>
    <w:rsid w:val="00797963"/>
    <w:rsid w:val="007A0421"/>
    <w:rsid w:val="007A04E3"/>
    <w:rsid w:val="007A2DB8"/>
    <w:rsid w:val="007A589E"/>
    <w:rsid w:val="007A641A"/>
    <w:rsid w:val="007A6960"/>
    <w:rsid w:val="007B2492"/>
    <w:rsid w:val="007B5798"/>
    <w:rsid w:val="007B77FF"/>
    <w:rsid w:val="007C0D99"/>
    <w:rsid w:val="007C42B2"/>
    <w:rsid w:val="007C63FD"/>
    <w:rsid w:val="007C716E"/>
    <w:rsid w:val="007C7433"/>
    <w:rsid w:val="007C7CE9"/>
    <w:rsid w:val="007E08B0"/>
    <w:rsid w:val="007E1F4E"/>
    <w:rsid w:val="007E35AD"/>
    <w:rsid w:val="007F1DAE"/>
    <w:rsid w:val="007F25CC"/>
    <w:rsid w:val="007F28B1"/>
    <w:rsid w:val="007F2A86"/>
    <w:rsid w:val="007F4E77"/>
    <w:rsid w:val="00802589"/>
    <w:rsid w:val="008066C5"/>
    <w:rsid w:val="00807E28"/>
    <w:rsid w:val="00810BB4"/>
    <w:rsid w:val="00812DAB"/>
    <w:rsid w:val="0081720F"/>
    <w:rsid w:val="0082217A"/>
    <w:rsid w:val="0082345D"/>
    <w:rsid w:val="00823B73"/>
    <w:rsid w:val="00825710"/>
    <w:rsid w:val="008307AF"/>
    <w:rsid w:val="00832060"/>
    <w:rsid w:val="0083285D"/>
    <w:rsid w:val="00832D14"/>
    <w:rsid w:val="00834D47"/>
    <w:rsid w:val="00834FDC"/>
    <w:rsid w:val="00835A94"/>
    <w:rsid w:val="00836DAE"/>
    <w:rsid w:val="00840606"/>
    <w:rsid w:val="00842F77"/>
    <w:rsid w:val="008434EF"/>
    <w:rsid w:val="008446D3"/>
    <w:rsid w:val="0084471F"/>
    <w:rsid w:val="00845001"/>
    <w:rsid w:val="0084578D"/>
    <w:rsid w:val="00852023"/>
    <w:rsid w:val="008529E5"/>
    <w:rsid w:val="0085315A"/>
    <w:rsid w:val="00855488"/>
    <w:rsid w:val="00856BA5"/>
    <w:rsid w:val="00856CC8"/>
    <w:rsid w:val="00860434"/>
    <w:rsid w:val="00860647"/>
    <w:rsid w:val="00862F3E"/>
    <w:rsid w:val="008632DE"/>
    <w:rsid w:val="00865D2A"/>
    <w:rsid w:val="008674B2"/>
    <w:rsid w:val="00871B3B"/>
    <w:rsid w:val="00874948"/>
    <w:rsid w:val="00876DEF"/>
    <w:rsid w:val="008777CF"/>
    <w:rsid w:val="00882ED3"/>
    <w:rsid w:val="008837F3"/>
    <w:rsid w:val="0088490E"/>
    <w:rsid w:val="00884CA1"/>
    <w:rsid w:val="008856A1"/>
    <w:rsid w:val="00890A99"/>
    <w:rsid w:val="00893A4C"/>
    <w:rsid w:val="00893B26"/>
    <w:rsid w:val="008954B9"/>
    <w:rsid w:val="008965BA"/>
    <w:rsid w:val="008977BC"/>
    <w:rsid w:val="008A0E29"/>
    <w:rsid w:val="008A1756"/>
    <w:rsid w:val="008A1B41"/>
    <w:rsid w:val="008A288D"/>
    <w:rsid w:val="008A3F1E"/>
    <w:rsid w:val="008A4746"/>
    <w:rsid w:val="008B1254"/>
    <w:rsid w:val="008B2D75"/>
    <w:rsid w:val="008B2E46"/>
    <w:rsid w:val="008B38D9"/>
    <w:rsid w:val="008B5B36"/>
    <w:rsid w:val="008B72E0"/>
    <w:rsid w:val="008B78E8"/>
    <w:rsid w:val="008C2662"/>
    <w:rsid w:val="008C2F1F"/>
    <w:rsid w:val="008C3093"/>
    <w:rsid w:val="008C55C5"/>
    <w:rsid w:val="008C7729"/>
    <w:rsid w:val="008D01FA"/>
    <w:rsid w:val="008D202F"/>
    <w:rsid w:val="008D2478"/>
    <w:rsid w:val="008D519E"/>
    <w:rsid w:val="008D5A4D"/>
    <w:rsid w:val="008E0A46"/>
    <w:rsid w:val="008E0F8C"/>
    <w:rsid w:val="008E5DA0"/>
    <w:rsid w:val="008E71A0"/>
    <w:rsid w:val="008F5375"/>
    <w:rsid w:val="00903334"/>
    <w:rsid w:val="00905C12"/>
    <w:rsid w:val="009064D6"/>
    <w:rsid w:val="009078BF"/>
    <w:rsid w:val="00910663"/>
    <w:rsid w:val="00911F1D"/>
    <w:rsid w:val="009161D8"/>
    <w:rsid w:val="00916CA8"/>
    <w:rsid w:val="00927DB5"/>
    <w:rsid w:val="00931AC4"/>
    <w:rsid w:val="00943A28"/>
    <w:rsid w:val="0094548E"/>
    <w:rsid w:val="00947454"/>
    <w:rsid w:val="009475E8"/>
    <w:rsid w:val="009502A9"/>
    <w:rsid w:val="0095201A"/>
    <w:rsid w:val="0095449F"/>
    <w:rsid w:val="0095490C"/>
    <w:rsid w:val="00967F37"/>
    <w:rsid w:val="00972F3E"/>
    <w:rsid w:val="009730FA"/>
    <w:rsid w:val="00975C2F"/>
    <w:rsid w:val="0097611D"/>
    <w:rsid w:val="00977EC5"/>
    <w:rsid w:val="0098230A"/>
    <w:rsid w:val="00983CA2"/>
    <w:rsid w:val="00984AB4"/>
    <w:rsid w:val="00984E06"/>
    <w:rsid w:val="009916E4"/>
    <w:rsid w:val="00991ADF"/>
    <w:rsid w:val="00997D95"/>
    <w:rsid w:val="00997DE1"/>
    <w:rsid w:val="009A1547"/>
    <w:rsid w:val="009A18D2"/>
    <w:rsid w:val="009A2875"/>
    <w:rsid w:val="009A358F"/>
    <w:rsid w:val="009A45DB"/>
    <w:rsid w:val="009A5154"/>
    <w:rsid w:val="009A5168"/>
    <w:rsid w:val="009B6323"/>
    <w:rsid w:val="009C6BD4"/>
    <w:rsid w:val="009C77E3"/>
    <w:rsid w:val="009D1120"/>
    <w:rsid w:val="009D186D"/>
    <w:rsid w:val="009D1926"/>
    <w:rsid w:val="009D2B85"/>
    <w:rsid w:val="009D32E9"/>
    <w:rsid w:val="009D3D84"/>
    <w:rsid w:val="009E1346"/>
    <w:rsid w:val="009E43E7"/>
    <w:rsid w:val="009F2017"/>
    <w:rsid w:val="009F2179"/>
    <w:rsid w:val="009F6216"/>
    <w:rsid w:val="00A007FD"/>
    <w:rsid w:val="00A01BEC"/>
    <w:rsid w:val="00A02A8F"/>
    <w:rsid w:val="00A04E9E"/>
    <w:rsid w:val="00A04F15"/>
    <w:rsid w:val="00A07EDE"/>
    <w:rsid w:val="00A15922"/>
    <w:rsid w:val="00A20403"/>
    <w:rsid w:val="00A208E0"/>
    <w:rsid w:val="00A21EAE"/>
    <w:rsid w:val="00A2300C"/>
    <w:rsid w:val="00A254A9"/>
    <w:rsid w:val="00A267EC"/>
    <w:rsid w:val="00A26B2A"/>
    <w:rsid w:val="00A310B8"/>
    <w:rsid w:val="00A31B43"/>
    <w:rsid w:val="00A4014E"/>
    <w:rsid w:val="00A427D8"/>
    <w:rsid w:val="00A433DB"/>
    <w:rsid w:val="00A44398"/>
    <w:rsid w:val="00A45A79"/>
    <w:rsid w:val="00A45E44"/>
    <w:rsid w:val="00A51C1B"/>
    <w:rsid w:val="00A52A57"/>
    <w:rsid w:val="00A53CB0"/>
    <w:rsid w:val="00A57032"/>
    <w:rsid w:val="00A616C5"/>
    <w:rsid w:val="00A63CA4"/>
    <w:rsid w:val="00A656E0"/>
    <w:rsid w:val="00A67AFF"/>
    <w:rsid w:val="00A71EF6"/>
    <w:rsid w:val="00A7305B"/>
    <w:rsid w:val="00A73E54"/>
    <w:rsid w:val="00A74462"/>
    <w:rsid w:val="00A80B8B"/>
    <w:rsid w:val="00A82994"/>
    <w:rsid w:val="00A8775F"/>
    <w:rsid w:val="00A90B78"/>
    <w:rsid w:val="00A916B3"/>
    <w:rsid w:val="00A97CC2"/>
    <w:rsid w:val="00AA1A91"/>
    <w:rsid w:val="00AA4419"/>
    <w:rsid w:val="00AA730E"/>
    <w:rsid w:val="00AA785D"/>
    <w:rsid w:val="00AB1E22"/>
    <w:rsid w:val="00AB2C48"/>
    <w:rsid w:val="00AB556C"/>
    <w:rsid w:val="00AC12F3"/>
    <w:rsid w:val="00AC4081"/>
    <w:rsid w:val="00AC69D2"/>
    <w:rsid w:val="00AC6F93"/>
    <w:rsid w:val="00AC78F3"/>
    <w:rsid w:val="00AC793E"/>
    <w:rsid w:val="00AD1678"/>
    <w:rsid w:val="00AD2F88"/>
    <w:rsid w:val="00AD797F"/>
    <w:rsid w:val="00AD7DD7"/>
    <w:rsid w:val="00AE30CD"/>
    <w:rsid w:val="00AE4DEC"/>
    <w:rsid w:val="00AE70F3"/>
    <w:rsid w:val="00AE7635"/>
    <w:rsid w:val="00AF1102"/>
    <w:rsid w:val="00AF274F"/>
    <w:rsid w:val="00AF3275"/>
    <w:rsid w:val="00AF33F2"/>
    <w:rsid w:val="00AF38C3"/>
    <w:rsid w:val="00AF3ACF"/>
    <w:rsid w:val="00AF3CF5"/>
    <w:rsid w:val="00AF6E55"/>
    <w:rsid w:val="00AF6FFE"/>
    <w:rsid w:val="00AF7993"/>
    <w:rsid w:val="00B012B6"/>
    <w:rsid w:val="00B064F4"/>
    <w:rsid w:val="00B0772D"/>
    <w:rsid w:val="00B103B4"/>
    <w:rsid w:val="00B1204A"/>
    <w:rsid w:val="00B12584"/>
    <w:rsid w:val="00B1259F"/>
    <w:rsid w:val="00B13697"/>
    <w:rsid w:val="00B150AA"/>
    <w:rsid w:val="00B1531A"/>
    <w:rsid w:val="00B15331"/>
    <w:rsid w:val="00B163E9"/>
    <w:rsid w:val="00B20086"/>
    <w:rsid w:val="00B2060A"/>
    <w:rsid w:val="00B234F2"/>
    <w:rsid w:val="00B266A2"/>
    <w:rsid w:val="00B27A2B"/>
    <w:rsid w:val="00B32AF2"/>
    <w:rsid w:val="00B3557B"/>
    <w:rsid w:val="00B37362"/>
    <w:rsid w:val="00B37709"/>
    <w:rsid w:val="00B37C2F"/>
    <w:rsid w:val="00B422A5"/>
    <w:rsid w:val="00B44085"/>
    <w:rsid w:val="00B4427E"/>
    <w:rsid w:val="00B46667"/>
    <w:rsid w:val="00B54497"/>
    <w:rsid w:val="00B60E64"/>
    <w:rsid w:val="00B6270E"/>
    <w:rsid w:val="00B62EAE"/>
    <w:rsid w:val="00B65E28"/>
    <w:rsid w:val="00B719B3"/>
    <w:rsid w:val="00B7240B"/>
    <w:rsid w:val="00B761B7"/>
    <w:rsid w:val="00B768EE"/>
    <w:rsid w:val="00B807DF"/>
    <w:rsid w:val="00B84D2A"/>
    <w:rsid w:val="00B8703A"/>
    <w:rsid w:val="00B90A5D"/>
    <w:rsid w:val="00B916DB"/>
    <w:rsid w:val="00B96C00"/>
    <w:rsid w:val="00BA0A8E"/>
    <w:rsid w:val="00BA3186"/>
    <w:rsid w:val="00BA3516"/>
    <w:rsid w:val="00BA392C"/>
    <w:rsid w:val="00BA45A7"/>
    <w:rsid w:val="00BA6862"/>
    <w:rsid w:val="00BA7074"/>
    <w:rsid w:val="00BB2260"/>
    <w:rsid w:val="00BB255A"/>
    <w:rsid w:val="00BB5C18"/>
    <w:rsid w:val="00BB65E6"/>
    <w:rsid w:val="00BB6C27"/>
    <w:rsid w:val="00BC09F7"/>
    <w:rsid w:val="00BC26D8"/>
    <w:rsid w:val="00BC4C73"/>
    <w:rsid w:val="00BC6739"/>
    <w:rsid w:val="00BC6958"/>
    <w:rsid w:val="00BC6AC4"/>
    <w:rsid w:val="00BD3F90"/>
    <w:rsid w:val="00BD6F16"/>
    <w:rsid w:val="00BD704A"/>
    <w:rsid w:val="00BE00EA"/>
    <w:rsid w:val="00BE55D6"/>
    <w:rsid w:val="00BE5BBD"/>
    <w:rsid w:val="00BE5D78"/>
    <w:rsid w:val="00BE5E80"/>
    <w:rsid w:val="00BE669C"/>
    <w:rsid w:val="00BF09C6"/>
    <w:rsid w:val="00BF19CA"/>
    <w:rsid w:val="00BF7990"/>
    <w:rsid w:val="00C0122E"/>
    <w:rsid w:val="00C01DD3"/>
    <w:rsid w:val="00C03D4D"/>
    <w:rsid w:val="00C04F4A"/>
    <w:rsid w:val="00C05024"/>
    <w:rsid w:val="00C10E0D"/>
    <w:rsid w:val="00C11B01"/>
    <w:rsid w:val="00C12323"/>
    <w:rsid w:val="00C13039"/>
    <w:rsid w:val="00C139F9"/>
    <w:rsid w:val="00C14726"/>
    <w:rsid w:val="00C1472B"/>
    <w:rsid w:val="00C16089"/>
    <w:rsid w:val="00C21AF2"/>
    <w:rsid w:val="00C24741"/>
    <w:rsid w:val="00C3787D"/>
    <w:rsid w:val="00C4051E"/>
    <w:rsid w:val="00C42BD7"/>
    <w:rsid w:val="00C45BBF"/>
    <w:rsid w:val="00C46153"/>
    <w:rsid w:val="00C468D4"/>
    <w:rsid w:val="00C47906"/>
    <w:rsid w:val="00C525EC"/>
    <w:rsid w:val="00C54479"/>
    <w:rsid w:val="00C547FF"/>
    <w:rsid w:val="00C5554B"/>
    <w:rsid w:val="00C60BDE"/>
    <w:rsid w:val="00C61374"/>
    <w:rsid w:val="00C63AAD"/>
    <w:rsid w:val="00C65D4B"/>
    <w:rsid w:val="00C65D88"/>
    <w:rsid w:val="00C660C3"/>
    <w:rsid w:val="00C705DB"/>
    <w:rsid w:val="00C710B1"/>
    <w:rsid w:val="00C73F80"/>
    <w:rsid w:val="00C8508F"/>
    <w:rsid w:val="00CA17A1"/>
    <w:rsid w:val="00CA209E"/>
    <w:rsid w:val="00CA3CB1"/>
    <w:rsid w:val="00CA647F"/>
    <w:rsid w:val="00CA7593"/>
    <w:rsid w:val="00CB0255"/>
    <w:rsid w:val="00CB17C6"/>
    <w:rsid w:val="00CB4C26"/>
    <w:rsid w:val="00CC2CC1"/>
    <w:rsid w:val="00CC45D1"/>
    <w:rsid w:val="00CC5D69"/>
    <w:rsid w:val="00CD1217"/>
    <w:rsid w:val="00CD3476"/>
    <w:rsid w:val="00CD46AB"/>
    <w:rsid w:val="00CD7F01"/>
    <w:rsid w:val="00CE05DC"/>
    <w:rsid w:val="00CE3361"/>
    <w:rsid w:val="00CE5BDB"/>
    <w:rsid w:val="00CE668C"/>
    <w:rsid w:val="00CE72E6"/>
    <w:rsid w:val="00CE7869"/>
    <w:rsid w:val="00CE7ECB"/>
    <w:rsid w:val="00CF33C3"/>
    <w:rsid w:val="00CF4878"/>
    <w:rsid w:val="00CF501A"/>
    <w:rsid w:val="00CF5623"/>
    <w:rsid w:val="00CF67C0"/>
    <w:rsid w:val="00D0109A"/>
    <w:rsid w:val="00D03167"/>
    <w:rsid w:val="00D0412C"/>
    <w:rsid w:val="00D10C79"/>
    <w:rsid w:val="00D1292F"/>
    <w:rsid w:val="00D13306"/>
    <w:rsid w:val="00D135C5"/>
    <w:rsid w:val="00D1457D"/>
    <w:rsid w:val="00D160C5"/>
    <w:rsid w:val="00D209D2"/>
    <w:rsid w:val="00D2275C"/>
    <w:rsid w:val="00D23C5C"/>
    <w:rsid w:val="00D245C9"/>
    <w:rsid w:val="00D246C6"/>
    <w:rsid w:val="00D24B76"/>
    <w:rsid w:val="00D2551E"/>
    <w:rsid w:val="00D260FB"/>
    <w:rsid w:val="00D2634D"/>
    <w:rsid w:val="00D26D5C"/>
    <w:rsid w:val="00D26F68"/>
    <w:rsid w:val="00D353B9"/>
    <w:rsid w:val="00D37C17"/>
    <w:rsid w:val="00D37CAC"/>
    <w:rsid w:val="00D41827"/>
    <w:rsid w:val="00D43001"/>
    <w:rsid w:val="00D52D58"/>
    <w:rsid w:val="00D6008B"/>
    <w:rsid w:val="00D62BA0"/>
    <w:rsid w:val="00D64170"/>
    <w:rsid w:val="00D67D73"/>
    <w:rsid w:val="00D71F60"/>
    <w:rsid w:val="00D73DFB"/>
    <w:rsid w:val="00D74CE1"/>
    <w:rsid w:val="00D762EB"/>
    <w:rsid w:val="00D80587"/>
    <w:rsid w:val="00D81A98"/>
    <w:rsid w:val="00D900E9"/>
    <w:rsid w:val="00D924AB"/>
    <w:rsid w:val="00D94038"/>
    <w:rsid w:val="00D947D9"/>
    <w:rsid w:val="00D95982"/>
    <w:rsid w:val="00D961F7"/>
    <w:rsid w:val="00D964EE"/>
    <w:rsid w:val="00DA0E4B"/>
    <w:rsid w:val="00DA3B05"/>
    <w:rsid w:val="00DA6F01"/>
    <w:rsid w:val="00DB1629"/>
    <w:rsid w:val="00DB2782"/>
    <w:rsid w:val="00DB5045"/>
    <w:rsid w:val="00DB77FF"/>
    <w:rsid w:val="00DC144E"/>
    <w:rsid w:val="00DC1A6B"/>
    <w:rsid w:val="00DD0591"/>
    <w:rsid w:val="00DD1075"/>
    <w:rsid w:val="00DD4222"/>
    <w:rsid w:val="00DD4D80"/>
    <w:rsid w:val="00DD7AEF"/>
    <w:rsid w:val="00DE1CD5"/>
    <w:rsid w:val="00DE2D42"/>
    <w:rsid w:val="00DE647E"/>
    <w:rsid w:val="00DF00A0"/>
    <w:rsid w:val="00DF2C0B"/>
    <w:rsid w:val="00DF4C09"/>
    <w:rsid w:val="00DF5712"/>
    <w:rsid w:val="00DF5F00"/>
    <w:rsid w:val="00DF68BD"/>
    <w:rsid w:val="00DF6987"/>
    <w:rsid w:val="00DF7B0E"/>
    <w:rsid w:val="00E00E7C"/>
    <w:rsid w:val="00E02DAC"/>
    <w:rsid w:val="00E04987"/>
    <w:rsid w:val="00E066EE"/>
    <w:rsid w:val="00E074D2"/>
    <w:rsid w:val="00E07CA5"/>
    <w:rsid w:val="00E10D22"/>
    <w:rsid w:val="00E13A4A"/>
    <w:rsid w:val="00E20DD8"/>
    <w:rsid w:val="00E2187C"/>
    <w:rsid w:val="00E21C85"/>
    <w:rsid w:val="00E22AD7"/>
    <w:rsid w:val="00E251F2"/>
    <w:rsid w:val="00E25832"/>
    <w:rsid w:val="00E27F06"/>
    <w:rsid w:val="00E311D3"/>
    <w:rsid w:val="00E33765"/>
    <w:rsid w:val="00E36506"/>
    <w:rsid w:val="00E375A4"/>
    <w:rsid w:val="00E41274"/>
    <w:rsid w:val="00E4298C"/>
    <w:rsid w:val="00E44FEF"/>
    <w:rsid w:val="00E45179"/>
    <w:rsid w:val="00E45C32"/>
    <w:rsid w:val="00E46816"/>
    <w:rsid w:val="00E52C3F"/>
    <w:rsid w:val="00E57186"/>
    <w:rsid w:val="00E61AAF"/>
    <w:rsid w:val="00E6255A"/>
    <w:rsid w:val="00E62825"/>
    <w:rsid w:val="00E63069"/>
    <w:rsid w:val="00E66303"/>
    <w:rsid w:val="00E67C23"/>
    <w:rsid w:val="00E70C23"/>
    <w:rsid w:val="00E72620"/>
    <w:rsid w:val="00E72E7A"/>
    <w:rsid w:val="00E736D0"/>
    <w:rsid w:val="00E7484B"/>
    <w:rsid w:val="00E76EEC"/>
    <w:rsid w:val="00E825B4"/>
    <w:rsid w:val="00E85477"/>
    <w:rsid w:val="00E86441"/>
    <w:rsid w:val="00E86E9B"/>
    <w:rsid w:val="00E90A0A"/>
    <w:rsid w:val="00E91BF9"/>
    <w:rsid w:val="00E9206F"/>
    <w:rsid w:val="00E9392D"/>
    <w:rsid w:val="00E964C1"/>
    <w:rsid w:val="00EA04B9"/>
    <w:rsid w:val="00EA0525"/>
    <w:rsid w:val="00EA0FFA"/>
    <w:rsid w:val="00EA1C44"/>
    <w:rsid w:val="00EA54AD"/>
    <w:rsid w:val="00EA6F28"/>
    <w:rsid w:val="00EB2367"/>
    <w:rsid w:val="00EB3519"/>
    <w:rsid w:val="00EB7729"/>
    <w:rsid w:val="00EC31CE"/>
    <w:rsid w:val="00EC79F8"/>
    <w:rsid w:val="00ED084E"/>
    <w:rsid w:val="00ED0AE3"/>
    <w:rsid w:val="00ED3460"/>
    <w:rsid w:val="00EE1C20"/>
    <w:rsid w:val="00EE279F"/>
    <w:rsid w:val="00EE36C0"/>
    <w:rsid w:val="00EE48DA"/>
    <w:rsid w:val="00EE6420"/>
    <w:rsid w:val="00EE6569"/>
    <w:rsid w:val="00EE6C7D"/>
    <w:rsid w:val="00EE71F9"/>
    <w:rsid w:val="00EF1BF7"/>
    <w:rsid w:val="00EF41C1"/>
    <w:rsid w:val="00F030C2"/>
    <w:rsid w:val="00F128E0"/>
    <w:rsid w:val="00F13A25"/>
    <w:rsid w:val="00F1430E"/>
    <w:rsid w:val="00F169AA"/>
    <w:rsid w:val="00F16F89"/>
    <w:rsid w:val="00F1775E"/>
    <w:rsid w:val="00F206D7"/>
    <w:rsid w:val="00F210F1"/>
    <w:rsid w:val="00F22B77"/>
    <w:rsid w:val="00F317F5"/>
    <w:rsid w:val="00F3197B"/>
    <w:rsid w:val="00F32098"/>
    <w:rsid w:val="00F34684"/>
    <w:rsid w:val="00F35448"/>
    <w:rsid w:val="00F3729B"/>
    <w:rsid w:val="00F37BDD"/>
    <w:rsid w:val="00F37D0B"/>
    <w:rsid w:val="00F431FA"/>
    <w:rsid w:val="00F43B93"/>
    <w:rsid w:val="00F4606C"/>
    <w:rsid w:val="00F5061C"/>
    <w:rsid w:val="00F50850"/>
    <w:rsid w:val="00F52354"/>
    <w:rsid w:val="00F545A0"/>
    <w:rsid w:val="00F605D8"/>
    <w:rsid w:val="00F61D07"/>
    <w:rsid w:val="00F64E1C"/>
    <w:rsid w:val="00F660AF"/>
    <w:rsid w:val="00F6641E"/>
    <w:rsid w:val="00F70791"/>
    <w:rsid w:val="00F81A7F"/>
    <w:rsid w:val="00F8478E"/>
    <w:rsid w:val="00F85242"/>
    <w:rsid w:val="00F8669A"/>
    <w:rsid w:val="00F86A9D"/>
    <w:rsid w:val="00F8767B"/>
    <w:rsid w:val="00F92002"/>
    <w:rsid w:val="00F95417"/>
    <w:rsid w:val="00F9581A"/>
    <w:rsid w:val="00F95FFD"/>
    <w:rsid w:val="00FA28E4"/>
    <w:rsid w:val="00FA7296"/>
    <w:rsid w:val="00FB0F59"/>
    <w:rsid w:val="00FB37D5"/>
    <w:rsid w:val="00FB47A6"/>
    <w:rsid w:val="00FB4A11"/>
    <w:rsid w:val="00FD32B1"/>
    <w:rsid w:val="00FD4818"/>
    <w:rsid w:val="00FE223F"/>
    <w:rsid w:val="00FE2AB1"/>
    <w:rsid w:val="00FE54E3"/>
    <w:rsid w:val="00FE5F30"/>
    <w:rsid w:val="00FF07E1"/>
    <w:rsid w:val="00FF0A1D"/>
    <w:rsid w:val="00FF34B4"/>
    <w:rsid w:val="00FF3D2E"/>
    <w:rsid w:val="00FF475A"/>
    <w:rsid w:val="00FF6D2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92AC044"/>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683F"/>
    <w:rPr>
      <w:rFonts w:ascii="Arial" w:hAnsi="Arial"/>
      <w:sz w:val="22"/>
    </w:rPr>
  </w:style>
  <w:style w:type="paragraph" w:styleId="Nadpis1">
    <w:name w:val="heading 1"/>
    <w:basedOn w:val="Normln"/>
    <w:next w:val="Normln"/>
    <w:link w:val="Nadpis1Char"/>
    <w:uiPriority w:val="9"/>
    <w:qFormat/>
    <w:rsid w:val="00EA0525"/>
    <w:pPr>
      <w:keepNext/>
      <w:keepLines/>
      <w:numPr>
        <w:numId w:val="3"/>
      </w:numPr>
      <w:spacing w:before="240" w:line="259" w:lineRule="auto"/>
      <w:outlineLvl w:val="0"/>
    </w:pPr>
    <w:rPr>
      <w:rFonts w:asciiTheme="majorHAnsi" w:eastAsiaTheme="majorEastAsia" w:hAnsiTheme="majorHAnsi" w:cstheme="majorBidi"/>
      <w:b/>
      <w:color w:val="000000" w:themeColor="text1"/>
      <w:sz w:val="32"/>
      <w:szCs w:val="32"/>
      <w:lang w:eastAsia="cs-CZ"/>
    </w:rPr>
  </w:style>
  <w:style w:type="paragraph" w:styleId="Nadpis2">
    <w:name w:val="heading 2"/>
    <w:basedOn w:val="Normln"/>
    <w:next w:val="Normln"/>
    <w:link w:val="Nadpis2Char"/>
    <w:uiPriority w:val="9"/>
    <w:unhideWhenUsed/>
    <w:qFormat/>
    <w:rsid w:val="00EA0525"/>
    <w:pPr>
      <w:keepNext/>
      <w:keepLines/>
      <w:numPr>
        <w:ilvl w:val="1"/>
        <w:numId w:val="3"/>
      </w:numPr>
      <w:spacing w:before="120" w:after="120" w:line="259" w:lineRule="auto"/>
      <w:contextualSpacing/>
      <w:jc w:val="both"/>
      <w:outlineLvl w:val="1"/>
    </w:pPr>
    <w:rPr>
      <w:rFonts w:eastAsiaTheme="majorEastAsia" w:cstheme="majorBidi"/>
      <w:b/>
      <w:sz w:val="24"/>
      <w:szCs w:val="26"/>
      <w:lang w:eastAsia="cs-CZ"/>
    </w:rPr>
  </w:style>
  <w:style w:type="paragraph" w:styleId="Nadpis3">
    <w:name w:val="heading 3"/>
    <w:basedOn w:val="Normln"/>
    <w:next w:val="Normln"/>
    <w:link w:val="Nadpis3Char"/>
    <w:uiPriority w:val="9"/>
    <w:semiHidden/>
    <w:unhideWhenUsed/>
    <w:qFormat/>
    <w:rsid w:val="00BE5BBD"/>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next w:val="Normln"/>
    <w:link w:val="Nadpis4Char"/>
    <w:uiPriority w:val="9"/>
    <w:unhideWhenUsed/>
    <w:qFormat/>
    <w:rsid w:val="0046683F"/>
    <w:pPr>
      <w:keepNext/>
      <w:keepLines/>
      <w:spacing w:before="40" w:line="259" w:lineRule="auto"/>
      <w:jc w:val="both"/>
      <w:outlineLvl w:val="3"/>
    </w:pPr>
    <w:rPr>
      <w:rFonts w:eastAsiaTheme="majorEastAsia" w:cstheme="majorBidi"/>
      <w:iCs/>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customStyle="1" w:styleId="Tab2sllevy">
    <w:name w:val="Tab2sl_levy"/>
    <w:basedOn w:val="Normln"/>
    <w:link w:val="Tab2sllevyChar"/>
    <w:qFormat/>
    <w:rsid w:val="002F4B24"/>
    <w:pPr>
      <w:framePr w:hSpace="141" w:wrap="around" w:vAnchor="text" w:hAnchor="margin" w:y="73"/>
      <w:spacing w:before="60" w:after="60"/>
    </w:pPr>
    <w:rPr>
      <w:rFonts w:eastAsiaTheme="minorHAnsi"/>
      <w:b/>
      <w:i/>
      <w:szCs w:val="22"/>
      <w:lang w:eastAsia="cs-CZ"/>
    </w:rPr>
  </w:style>
  <w:style w:type="character" w:customStyle="1" w:styleId="Tab2sllevyChar">
    <w:name w:val="Tab2sl_levy Char"/>
    <w:basedOn w:val="Standardnpsmoodstavce"/>
    <w:link w:val="Tab2sllevy"/>
    <w:rsid w:val="002F4B24"/>
    <w:rPr>
      <w:rFonts w:ascii="Arial" w:eastAsiaTheme="minorHAnsi" w:hAnsi="Arial"/>
      <w:b/>
      <w:i/>
      <w:sz w:val="22"/>
      <w:szCs w:val="22"/>
      <w:lang w:eastAsia="cs-CZ"/>
    </w:rPr>
  </w:style>
  <w:style w:type="character" w:styleId="Siln">
    <w:name w:val="Strong"/>
    <w:basedOn w:val="Standardnpsmoodstavce"/>
    <w:uiPriority w:val="22"/>
    <w:qFormat/>
    <w:rsid w:val="002F4B24"/>
    <w:rPr>
      <w:b/>
      <w:bCs/>
    </w:rPr>
  </w:style>
  <w:style w:type="character" w:customStyle="1" w:styleId="Nadpis1Char">
    <w:name w:val="Nadpis 1 Char"/>
    <w:basedOn w:val="Standardnpsmoodstavce"/>
    <w:link w:val="Nadpis1"/>
    <w:uiPriority w:val="9"/>
    <w:rsid w:val="00EA0525"/>
    <w:rPr>
      <w:rFonts w:asciiTheme="majorHAnsi" w:eastAsiaTheme="majorEastAsia" w:hAnsiTheme="majorHAnsi" w:cstheme="majorBidi"/>
      <w:b/>
      <w:color w:val="000000" w:themeColor="text1"/>
      <w:sz w:val="32"/>
      <w:szCs w:val="32"/>
      <w:lang w:eastAsia="cs-CZ"/>
    </w:rPr>
  </w:style>
  <w:style w:type="character" w:customStyle="1" w:styleId="Nadpis2Char">
    <w:name w:val="Nadpis 2 Char"/>
    <w:basedOn w:val="Standardnpsmoodstavce"/>
    <w:link w:val="Nadpis2"/>
    <w:uiPriority w:val="9"/>
    <w:rsid w:val="00EA0525"/>
    <w:rPr>
      <w:rFonts w:ascii="Arial" w:eastAsiaTheme="majorEastAsia" w:hAnsi="Arial" w:cstheme="majorBidi"/>
      <w:b/>
      <w:szCs w:val="26"/>
      <w:lang w:eastAsia="cs-CZ"/>
    </w:rPr>
  </w:style>
  <w:style w:type="character" w:customStyle="1" w:styleId="Nadpis4Char">
    <w:name w:val="Nadpis 4 Char"/>
    <w:basedOn w:val="Standardnpsmoodstavce"/>
    <w:link w:val="Nadpis4"/>
    <w:uiPriority w:val="9"/>
    <w:rsid w:val="0046683F"/>
    <w:rPr>
      <w:rFonts w:ascii="Arial" w:eastAsiaTheme="majorEastAsia" w:hAnsi="Arial" w:cstheme="majorBidi"/>
      <w:iCs/>
      <w:sz w:val="22"/>
      <w:szCs w:val="22"/>
      <w:lang w:eastAsia="cs-CZ"/>
    </w:rPr>
  </w:style>
  <w:style w:type="paragraph" w:customStyle="1" w:styleId="Preambule">
    <w:name w:val="Preambule"/>
    <w:basedOn w:val="Normln"/>
    <w:link w:val="PreambuleChar"/>
    <w:qFormat/>
    <w:rsid w:val="0046683F"/>
    <w:pPr>
      <w:spacing w:before="120" w:after="120" w:line="259" w:lineRule="auto"/>
      <w:jc w:val="both"/>
    </w:pPr>
    <w:rPr>
      <w:rFonts w:eastAsiaTheme="minorHAnsi"/>
      <w:sz w:val="20"/>
      <w:szCs w:val="22"/>
      <w:lang w:eastAsia="cs-CZ"/>
    </w:rPr>
  </w:style>
  <w:style w:type="character" w:customStyle="1" w:styleId="PreambuleChar">
    <w:name w:val="Preambule Char"/>
    <w:basedOn w:val="Standardnpsmoodstavce"/>
    <w:link w:val="Preambule"/>
    <w:rsid w:val="0046683F"/>
    <w:rPr>
      <w:rFonts w:ascii="Arial" w:eastAsiaTheme="minorHAnsi" w:hAnsi="Arial"/>
      <w:sz w:val="20"/>
      <w:szCs w:val="22"/>
      <w:lang w:eastAsia="cs-CZ"/>
    </w:rPr>
  </w:style>
  <w:style w:type="table" w:customStyle="1" w:styleId="Svtltabulkasmkou1zvraznn51">
    <w:name w:val="Světlá tabulka s mřížkou 1 – zvýraznění 51"/>
    <w:basedOn w:val="Normlntabulka"/>
    <w:uiPriority w:val="46"/>
    <w:rsid w:val="0046683F"/>
    <w:rPr>
      <w:rFonts w:eastAsiaTheme="minorHAnsi"/>
      <w:sz w:val="22"/>
      <w:szCs w:val="22"/>
      <w:lang w:eastAsia="cs-CZ"/>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Odstavecseseznamem">
    <w:name w:val="List Paragraph"/>
    <w:aliases w:val="Odstavec 1.1."/>
    <w:basedOn w:val="Normln"/>
    <w:link w:val="OdstavecseseznamemChar"/>
    <w:uiPriority w:val="34"/>
    <w:qFormat/>
    <w:rsid w:val="0046683F"/>
    <w:pPr>
      <w:spacing w:after="160" w:line="259" w:lineRule="auto"/>
      <w:ind w:left="720"/>
      <w:contextualSpacing/>
      <w:jc w:val="both"/>
    </w:pPr>
    <w:rPr>
      <w:rFonts w:eastAsiaTheme="minorHAnsi"/>
      <w:sz w:val="20"/>
      <w:szCs w:val="22"/>
      <w:lang w:eastAsia="cs-CZ"/>
    </w:rPr>
  </w:style>
  <w:style w:type="paragraph" w:customStyle="1" w:styleId="seznama">
    <w:name w:val="seznam a)"/>
    <w:link w:val="seznamaChar"/>
    <w:qFormat/>
    <w:rsid w:val="0046683F"/>
    <w:pPr>
      <w:numPr>
        <w:numId w:val="4"/>
      </w:numPr>
      <w:spacing w:after="160" w:line="259" w:lineRule="auto"/>
      <w:ind w:left="714" w:hanging="357"/>
      <w:contextualSpacing/>
    </w:pPr>
    <w:rPr>
      <w:rFonts w:ascii="Arial" w:eastAsiaTheme="minorHAnsi" w:hAnsi="Arial"/>
      <w:sz w:val="22"/>
      <w:szCs w:val="22"/>
      <w:lang w:eastAsia="cs-CZ"/>
    </w:rPr>
  </w:style>
  <w:style w:type="character" w:customStyle="1" w:styleId="OdstavecseseznamemChar">
    <w:name w:val="Odstavec se seznamem Char"/>
    <w:aliases w:val="Odstavec 1.1. Char"/>
    <w:basedOn w:val="Standardnpsmoodstavce"/>
    <w:link w:val="Odstavecseseznamem"/>
    <w:uiPriority w:val="34"/>
    <w:rsid w:val="0046683F"/>
    <w:rPr>
      <w:rFonts w:ascii="Arial" w:eastAsiaTheme="minorHAnsi" w:hAnsi="Arial"/>
      <w:sz w:val="20"/>
      <w:szCs w:val="22"/>
      <w:lang w:eastAsia="cs-CZ"/>
    </w:rPr>
  </w:style>
  <w:style w:type="character" w:customStyle="1" w:styleId="seznamaChar">
    <w:name w:val="seznam a) Char"/>
    <w:basedOn w:val="OdstavecseseznamemChar"/>
    <w:link w:val="seznama"/>
    <w:rsid w:val="0046683F"/>
    <w:rPr>
      <w:rFonts w:ascii="Arial" w:eastAsiaTheme="minorHAnsi" w:hAnsi="Arial"/>
      <w:sz w:val="22"/>
      <w:szCs w:val="22"/>
      <w:lang w:eastAsia="cs-CZ"/>
    </w:rPr>
  </w:style>
  <w:style w:type="paragraph" w:customStyle="1" w:styleId="seznamodr1uroven">
    <w:name w:val="seznam odr1uroven"/>
    <w:basedOn w:val="Odstavecseseznamem"/>
    <w:link w:val="seznamodr1urovenChar"/>
    <w:autoRedefine/>
    <w:qFormat/>
    <w:rsid w:val="00AB556C"/>
    <w:pPr>
      <w:numPr>
        <w:numId w:val="7"/>
      </w:numPr>
      <w:ind w:left="1225" w:hanging="505"/>
      <w:jc w:val="left"/>
    </w:pPr>
    <w:rPr>
      <w:sz w:val="22"/>
    </w:rPr>
  </w:style>
  <w:style w:type="character" w:customStyle="1" w:styleId="seznamodr1urovenChar">
    <w:name w:val="seznam odr1uroven Char"/>
    <w:basedOn w:val="OdstavecseseznamemChar"/>
    <w:link w:val="seznamodr1uroven"/>
    <w:rsid w:val="00AB556C"/>
    <w:rPr>
      <w:rFonts w:ascii="Arial" w:eastAsiaTheme="minorHAnsi" w:hAnsi="Arial"/>
      <w:sz w:val="22"/>
      <w:szCs w:val="22"/>
      <w:lang w:eastAsia="cs-CZ"/>
    </w:rPr>
  </w:style>
  <w:style w:type="paragraph" w:customStyle="1" w:styleId="seznam111">
    <w:name w:val="seznam 1.1.1."/>
    <w:basedOn w:val="Odstavecseseznamem"/>
    <w:link w:val="seznam111Char"/>
    <w:qFormat/>
    <w:rsid w:val="00782592"/>
    <w:pPr>
      <w:numPr>
        <w:ilvl w:val="2"/>
        <w:numId w:val="3"/>
      </w:numPr>
      <w:spacing w:after="80"/>
      <w:contextualSpacing w:val="0"/>
      <w:jc w:val="left"/>
    </w:pPr>
    <w:rPr>
      <w:sz w:val="22"/>
    </w:rPr>
  </w:style>
  <w:style w:type="character" w:customStyle="1" w:styleId="seznam111Char">
    <w:name w:val="seznam 1.1.1. Char"/>
    <w:basedOn w:val="OdstavecseseznamemChar"/>
    <w:link w:val="seznam111"/>
    <w:rsid w:val="00782592"/>
    <w:rPr>
      <w:rFonts w:ascii="Arial" w:eastAsiaTheme="minorHAnsi" w:hAnsi="Arial"/>
      <w:sz w:val="22"/>
      <w:szCs w:val="22"/>
      <w:lang w:eastAsia="cs-CZ"/>
    </w:rPr>
  </w:style>
  <w:style w:type="paragraph" w:styleId="Podnadpis">
    <w:name w:val="Subtitle"/>
    <w:basedOn w:val="Normln"/>
    <w:next w:val="Normln"/>
    <w:link w:val="PodnadpisChar"/>
    <w:uiPriority w:val="11"/>
    <w:qFormat/>
    <w:rsid w:val="0046683F"/>
    <w:pPr>
      <w:numPr>
        <w:ilvl w:val="1"/>
      </w:numPr>
      <w:spacing w:after="160" w:line="259" w:lineRule="auto"/>
      <w:jc w:val="both"/>
    </w:pPr>
    <w:rPr>
      <w:color w:val="5A5A5A" w:themeColor="text1" w:themeTint="A5"/>
      <w:spacing w:val="15"/>
      <w:sz w:val="20"/>
      <w:szCs w:val="22"/>
      <w:lang w:eastAsia="cs-CZ"/>
    </w:rPr>
  </w:style>
  <w:style w:type="character" w:customStyle="1" w:styleId="PodnadpisChar">
    <w:name w:val="Podnadpis Char"/>
    <w:basedOn w:val="Standardnpsmoodstavce"/>
    <w:link w:val="Podnadpis"/>
    <w:uiPriority w:val="11"/>
    <w:rsid w:val="0046683F"/>
    <w:rPr>
      <w:rFonts w:ascii="Arial" w:hAnsi="Arial"/>
      <w:color w:val="5A5A5A" w:themeColor="text1" w:themeTint="A5"/>
      <w:spacing w:val="15"/>
      <w:sz w:val="20"/>
      <w:szCs w:val="22"/>
      <w:lang w:eastAsia="cs-CZ"/>
    </w:rPr>
  </w:style>
  <w:style w:type="character" w:styleId="Hypertextovodkaz">
    <w:name w:val="Hyperlink"/>
    <w:basedOn w:val="Standardnpsmoodstavce"/>
    <w:uiPriority w:val="99"/>
    <w:unhideWhenUsed/>
    <w:rsid w:val="0046683F"/>
    <w:rPr>
      <w:color w:val="0000FF" w:themeColor="hyperlink"/>
      <w:u w:val="single"/>
    </w:rPr>
  </w:style>
  <w:style w:type="paragraph" w:styleId="Bezmezer">
    <w:name w:val="No Spacing"/>
    <w:uiPriority w:val="1"/>
    <w:qFormat/>
    <w:rsid w:val="0046683F"/>
    <w:rPr>
      <w:rFonts w:eastAsiaTheme="minorHAnsi"/>
      <w:sz w:val="22"/>
      <w:szCs w:val="22"/>
    </w:rPr>
  </w:style>
  <w:style w:type="paragraph" w:styleId="Textkomente">
    <w:name w:val="annotation text"/>
    <w:basedOn w:val="Normln"/>
    <w:link w:val="TextkomenteChar"/>
    <w:uiPriority w:val="99"/>
    <w:unhideWhenUsed/>
    <w:rsid w:val="00A007FD"/>
    <w:rPr>
      <w:sz w:val="20"/>
      <w:szCs w:val="20"/>
    </w:rPr>
  </w:style>
  <w:style w:type="character" w:customStyle="1" w:styleId="TextkomenteChar">
    <w:name w:val="Text komentáře Char"/>
    <w:basedOn w:val="Standardnpsmoodstavce"/>
    <w:link w:val="Textkomente"/>
    <w:uiPriority w:val="99"/>
    <w:rsid w:val="00A007FD"/>
    <w:rPr>
      <w:rFonts w:ascii="Arial" w:hAnsi="Arial"/>
      <w:sz w:val="20"/>
      <w:szCs w:val="20"/>
    </w:rPr>
  </w:style>
  <w:style w:type="character" w:styleId="Odkaznakoment">
    <w:name w:val="annotation reference"/>
    <w:basedOn w:val="Standardnpsmoodstavce"/>
    <w:uiPriority w:val="99"/>
    <w:semiHidden/>
    <w:unhideWhenUsed/>
    <w:rsid w:val="00A007FD"/>
    <w:rPr>
      <w:sz w:val="16"/>
      <w:szCs w:val="16"/>
    </w:rPr>
  </w:style>
  <w:style w:type="paragraph" w:styleId="Pedmtkomente">
    <w:name w:val="annotation subject"/>
    <w:basedOn w:val="Textkomente"/>
    <w:next w:val="Textkomente"/>
    <w:link w:val="PedmtkomenteChar"/>
    <w:uiPriority w:val="99"/>
    <w:semiHidden/>
    <w:unhideWhenUsed/>
    <w:rsid w:val="007F1DAE"/>
    <w:rPr>
      <w:b/>
      <w:bCs/>
    </w:rPr>
  </w:style>
  <w:style w:type="character" w:customStyle="1" w:styleId="PedmtkomenteChar">
    <w:name w:val="Předmět komentáře Char"/>
    <w:basedOn w:val="TextkomenteChar"/>
    <w:link w:val="Pedmtkomente"/>
    <w:uiPriority w:val="99"/>
    <w:semiHidden/>
    <w:rsid w:val="007F1DAE"/>
    <w:rPr>
      <w:rFonts w:ascii="Arial" w:hAnsi="Arial"/>
      <w:b/>
      <w:bCs/>
      <w:sz w:val="20"/>
      <w:szCs w:val="20"/>
    </w:rPr>
  </w:style>
  <w:style w:type="character" w:styleId="Sledovanodkaz">
    <w:name w:val="FollowedHyperlink"/>
    <w:basedOn w:val="Standardnpsmoodstavce"/>
    <w:uiPriority w:val="99"/>
    <w:semiHidden/>
    <w:unhideWhenUsed/>
    <w:rsid w:val="00326C0D"/>
    <w:rPr>
      <w:color w:val="800080" w:themeColor="followedHyperlink"/>
      <w:u w:val="single"/>
    </w:rPr>
  </w:style>
  <w:style w:type="character" w:customStyle="1" w:styleId="Nevyeenzmnka1">
    <w:name w:val="Nevyřešená zmínka1"/>
    <w:basedOn w:val="Standardnpsmoodstavce"/>
    <w:uiPriority w:val="99"/>
    <w:semiHidden/>
    <w:unhideWhenUsed/>
    <w:rsid w:val="004326D3"/>
    <w:rPr>
      <w:color w:val="605E5C"/>
      <w:shd w:val="clear" w:color="auto" w:fill="E1DFDD"/>
    </w:rPr>
  </w:style>
  <w:style w:type="paragraph" w:customStyle="1" w:styleId="Default">
    <w:name w:val="Default"/>
    <w:rsid w:val="00655615"/>
    <w:pPr>
      <w:autoSpaceDE w:val="0"/>
      <w:autoSpaceDN w:val="0"/>
      <w:adjustRightInd w:val="0"/>
    </w:pPr>
    <w:rPr>
      <w:rFonts w:ascii="Arial" w:hAnsi="Arial" w:cs="Arial"/>
      <w:color w:val="000000"/>
    </w:rPr>
  </w:style>
  <w:style w:type="paragraph" w:styleId="Revize">
    <w:name w:val="Revision"/>
    <w:hidden/>
    <w:uiPriority w:val="99"/>
    <w:semiHidden/>
    <w:rsid w:val="007B2492"/>
    <w:rPr>
      <w:rFonts w:ascii="Arial" w:hAnsi="Arial"/>
      <w:sz w:val="22"/>
    </w:rPr>
  </w:style>
  <w:style w:type="paragraph" w:customStyle="1" w:styleId="NzevVZ">
    <w:name w:val="Název VZ"/>
    <w:basedOn w:val="Nzev"/>
    <w:link w:val="NzevVZChar"/>
    <w:qFormat/>
    <w:rsid w:val="00546C4D"/>
    <w:pPr>
      <w:spacing w:before="240"/>
      <w:jc w:val="center"/>
    </w:pPr>
    <w:rPr>
      <w:rFonts w:ascii="Arial" w:hAnsi="Arial"/>
      <w:b/>
      <w:spacing w:val="-7"/>
      <w:kern w:val="0"/>
      <w:sz w:val="24"/>
      <w:szCs w:val="80"/>
      <w:lang w:eastAsia="cs-CZ"/>
    </w:rPr>
  </w:style>
  <w:style w:type="character" w:customStyle="1" w:styleId="NzevVZChar">
    <w:name w:val="Název VZ Char"/>
    <w:basedOn w:val="Standardnpsmoodstavce"/>
    <w:link w:val="NzevVZ"/>
    <w:rsid w:val="00546C4D"/>
    <w:rPr>
      <w:rFonts w:ascii="Arial" w:eastAsiaTheme="majorEastAsia" w:hAnsi="Arial" w:cstheme="majorBidi"/>
      <w:b/>
      <w:spacing w:val="-7"/>
      <w:szCs w:val="80"/>
      <w:lang w:eastAsia="cs-CZ"/>
    </w:rPr>
  </w:style>
  <w:style w:type="paragraph" w:styleId="Nzev">
    <w:name w:val="Title"/>
    <w:basedOn w:val="Normln"/>
    <w:next w:val="Normln"/>
    <w:link w:val="NzevChar"/>
    <w:uiPriority w:val="10"/>
    <w:qFormat/>
    <w:rsid w:val="00546C4D"/>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46C4D"/>
    <w:rPr>
      <w:rFonts w:asciiTheme="majorHAnsi" w:eastAsiaTheme="majorEastAsia" w:hAnsiTheme="majorHAnsi" w:cstheme="majorBidi"/>
      <w:spacing w:val="-10"/>
      <w:kern w:val="28"/>
      <w:sz w:val="56"/>
      <w:szCs w:val="56"/>
    </w:rPr>
  </w:style>
  <w:style w:type="character" w:customStyle="1" w:styleId="Nadpis3Char">
    <w:name w:val="Nadpis 3 Char"/>
    <w:basedOn w:val="Standardnpsmoodstavce"/>
    <w:link w:val="Nadpis3"/>
    <w:uiPriority w:val="9"/>
    <w:semiHidden/>
    <w:rsid w:val="00BE5BBD"/>
    <w:rPr>
      <w:rFonts w:asciiTheme="majorHAnsi" w:eastAsiaTheme="majorEastAsia" w:hAnsiTheme="majorHAnsi" w:cstheme="majorBidi"/>
      <w:color w:val="243F60" w:themeColor="accent1" w:themeShade="7F"/>
    </w:rPr>
  </w:style>
  <w:style w:type="character" w:styleId="Nevyeenzmnka">
    <w:name w:val="Unresolved Mention"/>
    <w:basedOn w:val="Standardnpsmoodstavce"/>
    <w:uiPriority w:val="99"/>
    <w:semiHidden/>
    <w:unhideWhenUsed/>
    <w:rsid w:val="00175E70"/>
    <w:rPr>
      <w:color w:val="605E5C"/>
      <w:shd w:val="clear" w:color="auto" w:fill="E1DFDD"/>
    </w:rPr>
  </w:style>
  <w:style w:type="table" w:styleId="Mkatabulky">
    <w:name w:val="Table Grid"/>
    <w:basedOn w:val="Normlntabulka"/>
    <w:uiPriority w:val="59"/>
    <w:rsid w:val="000117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7634">
      <w:bodyDiv w:val="1"/>
      <w:marLeft w:val="0"/>
      <w:marRight w:val="0"/>
      <w:marTop w:val="0"/>
      <w:marBottom w:val="0"/>
      <w:divBdr>
        <w:top w:val="none" w:sz="0" w:space="0" w:color="auto"/>
        <w:left w:val="none" w:sz="0" w:space="0" w:color="auto"/>
        <w:bottom w:val="none" w:sz="0" w:space="0" w:color="auto"/>
        <w:right w:val="none" w:sz="0" w:space="0" w:color="auto"/>
      </w:divBdr>
    </w:div>
    <w:div w:id="162164496">
      <w:bodyDiv w:val="1"/>
      <w:marLeft w:val="0"/>
      <w:marRight w:val="0"/>
      <w:marTop w:val="0"/>
      <w:marBottom w:val="0"/>
      <w:divBdr>
        <w:top w:val="none" w:sz="0" w:space="0" w:color="auto"/>
        <w:left w:val="none" w:sz="0" w:space="0" w:color="auto"/>
        <w:bottom w:val="none" w:sz="0" w:space="0" w:color="auto"/>
        <w:right w:val="none" w:sz="0" w:space="0" w:color="auto"/>
      </w:divBdr>
    </w:div>
    <w:div w:id="248583104">
      <w:bodyDiv w:val="1"/>
      <w:marLeft w:val="0"/>
      <w:marRight w:val="0"/>
      <w:marTop w:val="0"/>
      <w:marBottom w:val="0"/>
      <w:divBdr>
        <w:top w:val="none" w:sz="0" w:space="0" w:color="auto"/>
        <w:left w:val="none" w:sz="0" w:space="0" w:color="auto"/>
        <w:bottom w:val="none" w:sz="0" w:space="0" w:color="auto"/>
        <w:right w:val="none" w:sz="0" w:space="0" w:color="auto"/>
      </w:divBdr>
    </w:div>
    <w:div w:id="483618905">
      <w:bodyDiv w:val="1"/>
      <w:marLeft w:val="0"/>
      <w:marRight w:val="0"/>
      <w:marTop w:val="0"/>
      <w:marBottom w:val="0"/>
      <w:divBdr>
        <w:top w:val="none" w:sz="0" w:space="0" w:color="auto"/>
        <w:left w:val="none" w:sz="0" w:space="0" w:color="auto"/>
        <w:bottom w:val="none" w:sz="0" w:space="0" w:color="auto"/>
        <w:right w:val="none" w:sz="0" w:space="0" w:color="auto"/>
      </w:divBdr>
    </w:div>
    <w:div w:id="512764663">
      <w:bodyDiv w:val="1"/>
      <w:marLeft w:val="0"/>
      <w:marRight w:val="0"/>
      <w:marTop w:val="0"/>
      <w:marBottom w:val="0"/>
      <w:divBdr>
        <w:top w:val="none" w:sz="0" w:space="0" w:color="auto"/>
        <w:left w:val="none" w:sz="0" w:space="0" w:color="auto"/>
        <w:bottom w:val="none" w:sz="0" w:space="0" w:color="auto"/>
        <w:right w:val="none" w:sz="0" w:space="0" w:color="auto"/>
      </w:divBdr>
    </w:div>
    <w:div w:id="550507597">
      <w:bodyDiv w:val="1"/>
      <w:marLeft w:val="0"/>
      <w:marRight w:val="0"/>
      <w:marTop w:val="0"/>
      <w:marBottom w:val="0"/>
      <w:divBdr>
        <w:top w:val="none" w:sz="0" w:space="0" w:color="auto"/>
        <w:left w:val="none" w:sz="0" w:space="0" w:color="auto"/>
        <w:bottom w:val="none" w:sz="0" w:space="0" w:color="auto"/>
        <w:right w:val="none" w:sz="0" w:space="0" w:color="auto"/>
      </w:divBdr>
    </w:div>
    <w:div w:id="555818507">
      <w:bodyDiv w:val="1"/>
      <w:marLeft w:val="0"/>
      <w:marRight w:val="0"/>
      <w:marTop w:val="0"/>
      <w:marBottom w:val="0"/>
      <w:divBdr>
        <w:top w:val="none" w:sz="0" w:space="0" w:color="auto"/>
        <w:left w:val="none" w:sz="0" w:space="0" w:color="auto"/>
        <w:bottom w:val="none" w:sz="0" w:space="0" w:color="auto"/>
        <w:right w:val="none" w:sz="0" w:space="0" w:color="auto"/>
      </w:divBdr>
    </w:div>
    <w:div w:id="680859391">
      <w:bodyDiv w:val="1"/>
      <w:marLeft w:val="0"/>
      <w:marRight w:val="0"/>
      <w:marTop w:val="0"/>
      <w:marBottom w:val="0"/>
      <w:divBdr>
        <w:top w:val="none" w:sz="0" w:space="0" w:color="auto"/>
        <w:left w:val="none" w:sz="0" w:space="0" w:color="auto"/>
        <w:bottom w:val="none" w:sz="0" w:space="0" w:color="auto"/>
        <w:right w:val="none" w:sz="0" w:space="0" w:color="auto"/>
      </w:divBdr>
    </w:div>
    <w:div w:id="761685187">
      <w:bodyDiv w:val="1"/>
      <w:marLeft w:val="0"/>
      <w:marRight w:val="0"/>
      <w:marTop w:val="0"/>
      <w:marBottom w:val="0"/>
      <w:divBdr>
        <w:top w:val="none" w:sz="0" w:space="0" w:color="auto"/>
        <w:left w:val="none" w:sz="0" w:space="0" w:color="auto"/>
        <w:bottom w:val="none" w:sz="0" w:space="0" w:color="auto"/>
        <w:right w:val="none" w:sz="0" w:space="0" w:color="auto"/>
      </w:divBdr>
    </w:div>
    <w:div w:id="857502649">
      <w:bodyDiv w:val="1"/>
      <w:marLeft w:val="0"/>
      <w:marRight w:val="0"/>
      <w:marTop w:val="0"/>
      <w:marBottom w:val="0"/>
      <w:divBdr>
        <w:top w:val="none" w:sz="0" w:space="0" w:color="auto"/>
        <w:left w:val="none" w:sz="0" w:space="0" w:color="auto"/>
        <w:bottom w:val="none" w:sz="0" w:space="0" w:color="auto"/>
        <w:right w:val="none" w:sz="0" w:space="0" w:color="auto"/>
      </w:divBdr>
    </w:div>
    <w:div w:id="1029572384">
      <w:bodyDiv w:val="1"/>
      <w:marLeft w:val="0"/>
      <w:marRight w:val="0"/>
      <w:marTop w:val="0"/>
      <w:marBottom w:val="0"/>
      <w:divBdr>
        <w:top w:val="none" w:sz="0" w:space="0" w:color="auto"/>
        <w:left w:val="none" w:sz="0" w:space="0" w:color="auto"/>
        <w:bottom w:val="none" w:sz="0" w:space="0" w:color="auto"/>
        <w:right w:val="none" w:sz="0" w:space="0" w:color="auto"/>
      </w:divBdr>
    </w:div>
    <w:div w:id="122914868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266769921">
      <w:bodyDiv w:val="1"/>
      <w:marLeft w:val="0"/>
      <w:marRight w:val="0"/>
      <w:marTop w:val="0"/>
      <w:marBottom w:val="0"/>
      <w:divBdr>
        <w:top w:val="none" w:sz="0" w:space="0" w:color="auto"/>
        <w:left w:val="none" w:sz="0" w:space="0" w:color="auto"/>
        <w:bottom w:val="none" w:sz="0" w:space="0" w:color="auto"/>
        <w:right w:val="none" w:sz="0" w:space="0" w:color="auto"/>
      </w:divBdr>
    </w:div>
    <w:div w:id="1309045273">
      <w:bodyDiv w:val="1"/>
      <w:marLeft w:val="0"/>
      <w:marRight w:val="0"/>
      <w:marTop w:val="0"/>
      <w:marBottom w:val="0"/>
      <w:divBdr>
        <w:top w:val="none" w:sz="0" w:space="0" w:color="auto"/>
        <w:left w:val="none" w:sz="0" w:space="0" w:color="auto"/>
        <w:bottom w:val="none" w:sz="0" w:space="0" w:color="auto"/>
        <w:right w:val="none" w:sz="0" w:space="0" w:color="auto"/>
      </w:divBdr>
    </w:div>
    <w:div w:id="1465390269">
      <w:bodyDiv w:val="1"/>
      <w:marLeft w:val="0"/>
      <w:marRight w:val="0"/>
      <w:marTop w:val="0"/>
      <w:marBottom w:val="0"/>
      <w:divBdr>
        <w:top w:val="none" w:sz="0" w:space="0" w:color="auto"/>
        <w:left w:val="none" w:sz="0" w:space="0" w:color="auto"/>
        <w:bottom w:val="none" w:sz="0" w:space="0" w:color="auto"/>
        <w:right w:val="none" w:sz="0" w:space="0" w:color="auto"/>
      </w:divBdr>
    </w:div>
    <w:div w:id="1577861826">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908881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0B48F-A86E-4080-8529-231E735CF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2979</Words>
  <Characters>17582</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2021-01-25T14:23:00Z</dcterms:created>
  <dcterms:modified xsi:type="dcterms:W3CDTF">2025-08-13T08:03:00Z</dcterms:modified>
</cp:coreProperties>
</file>